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word/header5.xml" ContentType="application/vnd.openxmlformats-officedocument.wordprocessingml.header+xml"/>
  <Override PartName="/docProps/app.xml" ContentType="application/vnd.openxmlformats-officedocument.extended-properties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header6.xml" ContentType="application/vnd.openxmlformats-officedocument.wordprocessingml.header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9.xml" ContentType="application/vnd.openxmlformats-officedocument.wordprocessingml.footer+xml"/>
  <Override PartName="/word/theme/theme1.xml" ContentType="application/vnd.openxmlformats-officedocument.theme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9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95"/>
        <w:keepNext w:val="true"/>
        <w:keepLines w:val="true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«Утверждаю»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keepNext w:val="true"/>
        <w:keepLines w:val="true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Заместитель Генерального директора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keepNext w:val="true"/>
        <w:keepLines w:val="true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 управлению ресурсами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keepNext w:val="true"/>
        <w:keepLines w:val="true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АО «Сахаэнерго»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keepNext w:val="true"/>
        <w:keepLines w:val="true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_____________________ /Федоров Д.А./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keepNext w:val="true"/>
        <w:keepLines w:val="true"/>
        <w:pBdr/>
        <w:spacing/>
        <w:ind/>
        <w:jc w:val="right"/>
        <w:rPr>
          <w:bCs/>
          <w:sz w:val="24"/>
          <w:szCs w:val="24"/>
        </w:rPr>
      </w:pPr>
      <w:r>
        <w:rPr>
          <w:b w:val="0"/>
          <w:bCs/>
          <w:i w:val="0"/>
          <w:iCs w:val="0"/>
          <w:sz w:val="24"/>
          <w:szCs w:val="24"/>
        </w:rPr>
        <w:t xml:space="preserve">«_____» _______________ 2026 года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pBdr/>
        <w:spacing/>
        <w: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keepNext w:val="true"/>
        <w:keepLines w:val="true"/>
        <w:pBdr/>
        <w:spacing/>
        <w:ind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на выполнение работ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995"/>
        <w:keepNext w:val="true"/>
        <w:keepLines w:val="true"/>
        <w:pBdr/>
        <w:spacing/>
        <w:ind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995"/>
        <w:keepNext w:val="true"/>
        <w:keepLines w:val="true"/>
        <w:pBdr/>
        <w:spacing/>
        <w:ind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Лот </w:t>
      </w:r>
      <w:r>
        <w:rPr>
          <w:rFonts w:eastAsia="Calibri"/>
          <w:b/>
          <w:sz w:val="26"/>
          <w:szCs w:val="26"/>
        </w:rPr>
        <w:t xml:space="preserve">70201</w:t>
      </w:r>
      <w:r>
        <w:rPr>
          <w:rFonts w:eastAsia="Calibri"/>
          <w:b/>
          <w:sz w:val="26"/>
          <w:szCs w:val="26"/>
        </w:rPr>
        <w:t xml:space="preserve"> -РЕМ ПРОД-2026-СахаЭ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995"/>
        <w:widowControl w:val="false"/>
        <w:pBdr/>
        <w:tabs>
          <w:tab w:val="left" w:leader="none" w:pos="426"/>
          <w:tab w:val="clear" w:leader="none" w:pos="708"/>
        </w:tabs>
        <w:spacing w:after="120" w:before="120"/>
        <w:ind/>
        <w:jc w:val="center"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ОКПД2 - 33.11.12.000 Обустройства навеса с бетонной площадкой для хранения бочкотар на Произовдственной базе п. Черский Нижнеколымского РЭС</w:t>
      </w: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pStyle w:val="995"/>
        <w:widowControl w:val="false"/>
        <w:pBdr/>
        <w:tabs>
          <w:tab w:val="left" w:leader="none" w:pos="426"/>
          <w:tab w:val="clear" w:leader="none" w:pos="708"/>
        </w:tabs>
        <w:spacing w:after="120" w:before="120"/>
        <w:ind/>
        <w:jc w:val="center"/>
        <w:rPr>
          <w:rStyle w:val="1054"/>
          <w:b w:val="0"/>
          <w:sz w:val="26"/>
          <w:szCs w:val="26"/>
        </w:rPr>
      </w:pPr>
      <w:r>
        <w:rPr>
          <w:b w:val="0"/>
          <w:sz w:val="26"/>
          <w:szCs w:val="26"/>
        </w:rPr>
      </w:r>
      <w:r>
        <w:rPr>
          <w:rStyle w:val="1054"/>
          <w:b w:val="0"/>
          <w:sz w:val="26"/>
          <w:szCs w:val="26"/>
        </w:rPr>
      </w:r>
      <w:r>
        <w:rPr>
          <w:rStyle w:val="1054"/>
          <w:b w:val="0"/>
          <w:sz w:val="26"/>
          <w:szCs w:val="26"/>
        </w:rPr>
      </w:r>
    </w:p>
    <w:p>
      <w:pPr>
        <w:pStyle w:val="995"/>
        <w:pBdr/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95"/>
        <w:pBdr/>
        <w:spacing/>
        <w:ind/>
        <w:jc w:val="center"/>
        <w:rPr>
          <w:highlight w:val="none"/>
          <w:shd w:val="clear" w:color="auto" w:fill="auto"/>
        </w:rPr>
      </w:pPr>
      <w:r>
        <w:rPr>
          <w:b/>
          <w:shd w:val="clear" w:color="auto" w:fill="auto"/>
        </w:rPr>
        <w:t xml:space="preserve">СОДЕРЖАНИЕ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997"/>
        <w:numPr>
          <w:ilvl w:val="0"/>
          <w:numId w:val="0"/>
        </w:numPr>
        <w:pBdr/>
        <w:spacing/>
        <w:ind w:firstLine="0" w:left="0"/>
        <w:rPr>
          <w:b w:val="0"/>
          <w:i/>
        </w:rPr>
      </w:pPr>
      <w:r>
        <w:rPr>
          <w:b w:val="0"/>
          <w:i/>
        </w:rPr>
      </w:r>
      <w:r>
        <w:rPr>
          <w:b w:val="0"/>
          <w:i/>
        </w:rPr>
      </w:r>
      <w:r>
        <w:rPr>
          <w:b w:val="0"/>
          <w:i/>
        </w:rPr>
      </w:r>
    </w:p>
    <w:p>
      <w:pPr>
        <w:pStyle w:val="1085"/>
        <w:pBdr/>
        <w:tabs>
          <w:tab w:val="clear" w:leader="none" w:pos="708"/>
          <w:tab w:val="right" w:leader="dot" w:pos="9921"/>
        </w:tabs>
        <w:spacing/>
        <w:ind/>
        <w:rPr/>
      </w:pPr>
      <w:r/>
      <w:hyperlink w:tooltip="#__RefHeading___Toc15523_366233758" w:anchor="__RefHeading___Toc15523_366233758" w:history="1">
        <w:r>
          <w:rPr>
            <w:rStyle w:val="1061"/>
            <w:vanish w:val="0"/>
          </w:rPr>
          <w:t xml:space="preserve">1. Общие сведения</w:t>
          <w:tab/>
          <w:t xml:space="preserve">3</w:t>
        </w:r>
      </w:hyperlink>
      <w:r/>
      <w:r/>
    </w:p>
    <w:p>
      <w:pPr>
        <w:pStyle w:val="1095"/>
        <w:pBdr/>
        <w:tabs>
          <w:tab w:val="clear" w:leader="none" w:pos="708"/>
          <w:tab w:val="right" w:leader="dot" w:pos="9921"/>
        </w:tabs>
        <w:spacing/>
        <w:ind/>
        <w:rPr/>
      </w:pPr>
      <w:r/>
      <w:hyperlink w:tooltip="#__RefHeading___Toc15525_366233758" w:anchor="__RefHeading___Toc15525_366233758" w:history="1">
        <w:r>
          <w:rPr>
            <w:rStyle w:val="1061"/>
            <w:vanish w:val="0"/>
          </w:rPr>
          <w:t xml:space="preserve">1.1. Обозначения и сокращения</w:t>
          <w:tab/>
          <w:t xml:space="preserve">3</w:t>
        </w:r>
      </w:hyperlink>
      <w:r/>
      <w:r/>
    </w:p>
    <w:p>
      <w:pPr>
        <w:pStyle w:val="1095"/>
        <w:pBdr/>
        <w:tabs>
          <w:tab w:val="clear" w:leader="none" w:pos="708"/>
          <w:tab w:val="right" w:leader="dot" w:pos="9921"/>
        </w:tabs>
        <w:spacing/>
        <w:ind/>
        <w:rPr/>
      </w:pPr>
      <w:r/>
      <w:hyperlink w:tooltip="#__RefHeading___Toc15527_366233758" w:anchor="__RefHeading___Toc15527_366233758" w:history="1">
        <w:r>
          <w:rPr>
            <w:rStyle w:val="1061"/>
            <w:vanish w:val="0"/>
          </w:rPr>
          <w:t xml:space="preserve">1.2. Наименование закупаемой продукции</w:t>
          <w:tab/>
          <w:t xml:space="preserve">4</w:t>
        </w:r>
      </w:hyperlink>
      <w:r/>
      <w:r/>
    </w:p>
    <w:p>
      <w:pPr>
        <w:pStyle w:val="1095"/>
        <w:pBdr/>
        <w:tabs>
          <w:tab w:val="clear" w:leader="none" w:pos="708"/>
          <w:tab w:val="right" w:leader="dot" w:pos="9921"/>
        </w:tabs>
        <w:spacing/>
        <w:ind/>
        <w:rPr/>
      </w:pPr>
      <w:r/>
      <w:hyperlink w:tooltip="#__RefHeading___Toc15529_366233758" w:anchor="__RefHeading___Toc15529_366233758" w:history="1">
        <w:r>
          <w:rPr>
            <w:rStyle w:val="1061"/>
            <w:vanish w:val="0"/>
          </w:rPr>
          <w:t xml:space="preserve">1.3. Цель выполнения работ</w:t>
          <w:tab/>
          <w:t xml:space="preserve">4</w:t>
        </w:r>
      </w:hyperlink>
      <w:r/>
      <w:r/>
    </w:p>
    <w:p>
      <w:pPr>
        <w:pStyle w:val="1095"/>
        <w:pBdr/>
        <w:tabs>
          <w:tab w:val="clear" w:leader="none" w:pos="708"/>
          <w:tab w:val="right" w:leader="dot" w:pos="9921"/>
        </w:tabs>
        <w:spacing/>
        <w:ind/>
        <w:rPr/>
      </w:pPr>
      <w:r/>
      <w:hyperlink w:tooltip="#__RefHeading___Toc15531_366233758" w:anchor="__RefHeading___Toc15531_366233758" w:history="1">
        <w:r>
          <w:rPr>
            <w:rStyle w:val="1061"/>
            <w:vanish w:val="0"/>
          </w:rPr>
          <w:t xml:space="preserve">Таблица 1. Перечень объектов заказчика</w:t>
          <w:tab/>
          <w:t xml:space="preserve">4</w:t>
        </w:r>
      </w:hyperlink>
      <w:r/>
      <w:r/>
    </w:p>
    <w:p>
      <w:pPr>
        <w:pStyle w:val="1095"/>
        <w:pBdr/>
        <w:tabs>
          <w:tab w:val="clear" w:leader="none" w:pos="708"/>
          <w:tab w:val="right" w:leader="dot" w:pos="9921"/>
        </w:tabs>
        <w:spacing/>
        <w:ind/>
        <w:rPr/>
      </w:pPr>
      <w:r/>
      <w:hyperlink w:tooltip="#__RefHeading___Toc15533_366233758" w:anchor="__RefHeading___Toc15533_366233758" w:history="1">
        <w:r>
          <w:rPr>
            <w:rStyle w:val="1061"/>
            <w:vanish w:val="0"/>
          </w:rPr>
          <w:t xml:space="preserve">1.4. Иные требования и сведения общего характера</w:t>
          <w:tab/>
          <w:t xml:space="preserve">4</w:t>
        </w:r>
      </w:hyperlink>
      <w:r/>
      <w:r/>
    </w:p>
    <w:p>
      <w:pPr>
        <w:pStyle w:val="1085"/>
        <w:pBdr/>
        <w:tabs>
          <w:tab w:val="clear" w:leader="none" w:pos="708"/>
          <w:tab w:val="right" w:leader="dot" w:pos="9921"/>
        </w:tabs>
        <w:spacing/>
        <w:ind/>
        <w:rPr/>
      </w:pPr>
      <w:r/>
      <w:hyperlink w:tooltip="#__RefHeading___Toc15535_366233758" w:anchor="__RefHeading___Toc15535_366233758" w:history="1">
        <w:r>
          <w:rPr>
            <w:rStyle w:val="1061"/>
            <w:vanish w:val="0"/>
          </w:rPr>
          <w:t xml:space="preserve">2. </w:t>
        </w:r>
        <w:r>
          <w:rPr>
            <w:rStyle w:val="1061"/>
            <w:iCs/>
          </w:rPr>
          <w:t xml:space="preserve">Требования к продукции</w:t>
        </w:r>
        <w:r>
          <w:rPr>
            <w:rStyle w:val="1061"/>
          </w:rPr>
          <w:tab/>
          <w:t xml:space="preserve">4</w:t>
        </w:r>
      </w:hyperlink>
      <w:r/>
      <w:r/>
    </w:p>
    <w:p>
      <w:pPr>
        <w:pStyle w:val="1095"/>
        <w:pBdr/>
        <w:tabs>
          <w:tab w:val="clear" w:leader="none" w:pos="708"/>
          <w:tab w:val="right" w:leader="dot" w:pos="9921"/>
        </w:tabs>
        <w:spacing/>
        <w:ind/>
        <w:rPr/>
      </w:pPr>
      <w:r/>
      <w:hyperlink w:tooltip="#__RefHeading___Toc15537_366233758" w:anchor="__RefHeading___Toc15537_366233758" w:history="1">
        <w:r>
          <w:rPr>
            <w:rStyle w:val="1061"/>
            <w:vanish w:val="0"/>
          </w:rPr>
          <w:t xml:space="preserve">2.1. Требования к объемам и срокам выполнения работ</w:t>
          <w:tab/>
          <w:t xml:space="preserve">4</w:t>
        </w:r>
      </w:hyperlink>
      <w:r/>
      <w:r/>
    </w:p>
    <w:p>
      <w:pPr>
        <w:pStyle w:val="1086"/>
        <w:pBdr/>
        <w:tabs>
          <w:tab w:val="clear" w:leader="none" w:pos="708"/>
          <w:tab w:val="right" w:leader="dot" w:pos="9921"/>
        </w:tabs>
        <w:spacing/>
        <w:ind/>
        <w:rPr/>
      </w:pPr>
      <w:r/>
      <w:hyperlink w:tooltip="#__RefHeading___Toc15539_366233758" w:anchor="__RefHeading___Toc15539_366233758" w:history="1">
        <w:r>
          <w:rPr>
            <w:rStyle w:val="1061"/>
            <w:vanish w:val="0"/>
          </w:rPr>
          <w:t xml:space="preserve">2.1.1. Требования к видам и объемам работ</w:t>
          <w:tab/>
          <w:t xml:space="preserve">4</w:t>
        </w:r>
      </w:hyperlink>
      <w:r/>
      <w:r/>
    </w:p>
    <w:p>
      <w:pPr>
        <w:pStyle w:val="1095"/>
        <w:pBdr/>
        <w:tabs>
          <w:tab w:val="clear" w:leader="none" w:pos="708"/>
          <w:tab w:val="right" w:leader="dot" w:pos="9921"/>
        </w:tabs>
        <w:spacing/>
        <w:ind/>
        <w:rPr/>
      </w:pPr>
      <w:r/>
      <w:hyperlink w:tooltip="#__RefHeading___Toc15541_366233758" w:anchor="__RefHeading___Toc15541_366233758" w:history="1">
        <w:r>
          <w:rPr>
            <w:rStyle w:val="1061"/>
            <w:vanish w:val="0"/>
          </w:rPr>
          <w:t xml:space="preserve">Таблица 2. Перечень и объем выполняемых работ</w:t>
          <w:tab/>
          <w:t xml:space="preserve">4</w:t>
        </w:r>
      </w:hyperlink>
      <w:r/>
      <w:r/>
    </w:p>
    <w:p>
      <w:pPr>
        <w:pStyle w:val="1086"/>
        <w:pBdr/>
        <w:tabs>
          <w:tab w:val="clear" w:leader="none" w:pos="708"/>
          <w:tab w:val="right" w:leader="dot" w:pos="9921"/>
        </w:tabs>
        <w:spacing/>
        <w:ind/>
        <w:rPr/>
      </w:pPr>
      <w:r/>
      <w:hyperlink w:tooltip="#__RefHeading___Toc15543_366233758" w:anchor="__RefHeading___Toc15543_366233758" w:history="1">
        <w:r>
          <w:rPr>
            <w:rStyle w:val="1061"/>
            <w:vanish w:val="0"/>
          </w:rPr>
          <w:t xml:space="preserve">2.1.2. Требования к срокам выполнения работ</w:t>
          <w:tab/>
        </w:r>
      </w:hyperlink>
      <w:r>
        <w:rPr>
          <w:rStyle w:val="1061"/>
          <w:vanish w:val="0"/>
        </w:rPr>
        <w:t xml:space="preserve">10</w:t>
      </w:r>
      <w:r/>
    </w:p>
    <w:p>
      <w:pPr>
        <w:pStyle w:val="1095"/>
        <w:pBdr/>
        <w:tabs>
          <w:tab w:val="clear" w:leader="none" w:pos="708"/>
          <w:tab w:val="right" w:leader="dot" w:pos="9921"/>
        </w:tabs>
        <w:spacing/>
        <w:ind/>
        <w:rPr/>
      </w:pPr>
      <w:r/>
      <w:hyperlink w:tooltip="#__RefHeading___Toc15545_366233758" w:anchor="__RefHeading___Toc15545_366233758" w:history="1">
        <w:r>
          <w:rPr>
            <w:rStyle w:val="1061"/>
            <w:vanish w:val="0"/>
          </w:rPr>
          <w:t xml:space="preserve">Таблица 3. Требования по срокам выполнения работ</w:t>
          <w:tab/>
        </w:r>
      </w:hyperlink>
      <w:r>
        <w:rPr>
          <w:rStyle w:val="1061"/>
          <w:vanish w:val="0"/>
        </w:rPr>
        <w:t xml:space="preserve">10</w:t>
      </w:r>
      <w:r/>
    </w:p>
    <w:p>
      <w:pPr>
        <w:pStyle w:val="1095"/>
        <w:pBdr/>
        <w:tabs>
          <w:tab w:val="clear" w:leader="none" w:pos="708"/>
          <w:tab w:val="right" w:leader="dot" w:pos="9921"/>
        </w:tabs>
        <w:spacing/>
        <w:ind/>
        <w:rPr/>
      </w:pPr>
      <w:r/>
      <w:hyperlink w:tooltip="#__RefHeading___Toc15547_366233758" w:anchor="__RefHeading___Toc15547_366233758" w:history="1">
        <w:r>
          <w:rPr>
            <w:rStyle w:val="1061"/>
            <w:vanish w:val="0"/>
          </w:rPr>
          <w:t xml:space="preserve">2.2. Требования к качеству работ</w:t>
          <w:tab/>
        </w:r>
      </w:hyperlink>
      <w:r>
        <w:rPr>
          <w:rStyle w:val="1061"/>
          <w:vanish w:val="0"/>
        </w:rPr>
        <w:t xml:space="preserve">11</w:t>
      </w:r>
      <w:r/>
    </w:p>
    <w:p>
      <w:pPr>
        <w:pStyle w:val="1095"/>
        <w:pBdr/>
        <w:tabs>
          <w:tab w:val="clear" w:leader="none" w:pos="708"/>
          <w:tab w:val="right" w:leader="dot" w:pos="9921"/>
        </w:tabs>
        <w:spacing/>
        <w:ind/>
        <w:rPr/>
      </w:pPr>
      <w:r/>
      <w:hyperlink w:tooltip="#__RefHeading___Toc15549_366233758" w:anchor="__RefHeading___Toc15549_366233758" w:history="1">
        <w:r>
          <w:rPr>
            <w:rStyle w:val="1061"/>
            <w:vanish w:val="0"/>
          </w:rPr>
          <w:t xml:space="preserve">Таблица 4. Требования к качеству работ</w:t>
          <w:tab/>
        </w:r>
      </w:hyperlink>
      <w:r>
        <w:rPr>
          <w:rStyle w:val="1061"/>
          <w:vanish w:val="0"/>
        </w:rPr>
        <w:t xml:space="preserve">11</w:t>
      </w:r>
      <w:r/>
    </w:p>
    <w:p>
      <w:pPr>
        <w:pStyle w:val="1085"/>
        <w:pBdr/>
        <w:tabs>
          <w:tab w:val="clear" w:leader="none" w:pos="708"/>
          <w:tab w:val="right" w:leader="dot" w:pos="9921"/>
        </w:tabs>
        <w:spacing/>
        <w:ind/>
        <w:rPr/>
      </w:pPr>
      <w:r>
        <w:rPr>
          <w:vanish w:val="0"/>
        </w:rPr>
        <w:t xml:space="preserve">3</w:t>
      </w:r>
      <w:hyperlink w:tooltip="#__RefHeading___Toc15551_366233758" w:anchor="__RefHeading___Toc15551_366233758" w:history="1">
        <w:r>
          <w:rPr>
            <w:rStyle w:val="1061"/>
            <w:vanish w:val="0"/>
          </w:rPr>
          <w:t xml:space="preserve">. Требования к Участнику закупки</w:t>
          <w:tab/>
        </w:r>
      </w:hyperlink>
      <w:r>
        <w:rPr>
          <w:rStyle w:val="1061"/>
          <w:vanish w:val="0"/>
        </w:rPr>
        <w:t xml:space="preserve">22</w:t>
      </w:r>
      <w:r/>
    </w:p>
    <w:p>
      <w:pPr>
        <w:pStyle w:val="1085"/>
        <w:pBdr/>
        <w:tabs>
          <w:tab w:val="clear" w:leader="none" w:pos="708"/>
          <w:tab w:val="right" w:leader="dot" w:pos="9921"/>
        </w:tabs>
        <w:spacing/>
        <w:ind/>
        <w:rPr/>
      </w:pPr>
      <w:r/>
      <w:hyperlink w:tooltip="#__RefHeading___Toc15551_366233758" w:anchor="__RefHeading___Toc15551_366233758" w:history="1">
        <w:r>
          <w:rPr>
            <w:rStyle w:val="1061"/>
            <w:vanish w:val="0"/>
          </w:rPr>
          <w:t xml:space="preserve">4. Требования к Участникам закупочных процедур в части ценообразования</w:t>
          <w:tab/>
          <w:t xml:space="preserve">2</w:t>
        </w:r>
      </w:hyperlink>
      <w:r>
        <w:rPr>
          <w:rStyle w:val="1061"/>
          <w:vanish w:val="0"/>
        </w:rPr>
        <w:t xml:space="preserve">3</w:t>
      </w:r>
      <w:r/>
    </w:p>
    <w:p>
      <w:pPr>
        <w:pStyle w:val="1085"/>
        <w:pBdr/>
        <w:tabs>
          <w:tab w:val="clear" w:leader="none" w:pos="708"/>
          <w:tab w:val="right" w:leader="dot" w:pos="9921"/>
        </w:tabs>
        <w:spacing/>
        <w:ind/>
        <w:rPr/>
      </w:pPr>
      <w:r/>
      <w:hyperlink w:tooltip="#__RefHeading___Toc15553_366233758" w:anchor="__RefHeading___Toc15553_366233758" w:history="1">
        <w:r>
          <w:rPr>
            <w:rStyle w:val="1061"/>
            <w:vanish w:val="0"/>
          </w:rPr>
          <w:t xml:space="preserve">5. </w:t>
        </w:r>
        <w:r>
          <w:rPr>
            <w:rStyle w:val="1061"/>
            <w:iCs/>
          </w:rPr>
          <w:t xml:space="preserve">Приложения</w:t>
        </w:r>
        <w:r>
          <w:rPr>
            <w:rStyle w:val="1061"/>
          </w:rPr>
          <w:tab/>
          <w:t xml:space="preserve">2</w:t>
        </w:r>
      </w:hyperlink>
      <w:r>
        <w:t xml:space="preserve">4</w:t>
      </w:r>
      <w:r>
        <w:br w:type="page" w:clear="all"/>
      </w:r>
      <w:r/>
    </w:p>
    <w:p>
      <w:pPr>
        <w:pStyle w:val="996"/>
        <w:keepLines w:val="true"/>
        <w:numPr>
          <w:ilvl w:val="0"/>
          <w:numId w:val="3"/>
        </w:numPr>
        <w:pBdr/>
        <w:spacing/>
        <w:ind w:hanging="357" w:left="357"/>
        <w:jc w:val="center"/>
        <w:rPr>
          <w:caps/>
        </w:rPr>
      </w:pPr>
      <w:r/>
      <w:bookmarkStart w:id="0" w:name="__RefHeading___Toc15523_366233758"/>
      <w:r/>
      <w:bookmarkStart w:id="1" w:name="_Toc51339692"/>
      <w:r/>
      <w:bookmarkStart w:id="2" w:name="_Toc123118734"/>
      <w:r/>
      <w:bookmarkEnd w:id="0"/>
      <w:r>
        <w:t xml:space="preserve">Общие сведения</w:t>
      </w:r>
      <w:bookmarkEnd w:id="1"/>
      <w:r/>
      <w:bookmarkEnd w:id="2"/>
      <w:r>
        <w:rPr>
          <w:caps/>
        </w:rPr>
      </w:r>
      <w:r>
        <w:rPr>
          <w:caps/>
        </w:rPr>
      </w:r>
    </w:p>
    <w:p>
      <w:pPr>
        <w:pStyle w:val="999"/>
        <w:numPr>
          <w:ilvl w:val="1"/>
          <w:numId w:val="3"/>
        </w:numPr>
        <w:pBdr/>
        <w:spacing/>
        <w:ind/>
        <w:rPr/>
      </w:pPr>
      <w:r/>
      <w:bookmarkStart w:id="3" w:name="__RefHeading___Toc15525_366233758"/>
      <w:r/>
      <w:bookmarkStart w:id="4" w:name="_Toc46743505"/>
      <w:r/>
      <w:bookmarkStart w:id="5" w:name="_Toc123118735"/>
      <w:r/>
      <w:bookmarkEnd w:id="3"/>
      <w:r>
        <w:t xml:space="preserve">Обозначения и сокращения</w:t>
      </w:r>
      <w:bookmarkEnd w:id="4"/>
      <w:r/>
      <w:bookmarkEnd w:id="5"/>
      <w:r/>
      <w:r/>
    </w:p>
    <w:p>
      <w:pPr>
        <w:pStyle w:val="995"/>
        <w:pBdr/>
        <w:spacing/>
        <w:ind/>
        <w:rPr>
          <w:rStyle w:val="1054"/>
          <w:b w:val="0"/>
          <w:bCs/>
          <w:iCs/>
          <w:sz w:val="26"/>
          <w:szCs w:val="26"/>
        </w:rPr>
      </w:pPr>
      <w:r>
        <w:rPr>
          <w:b w:val="0"/>
          <w:bCs/>
          <w:iCs/>
          <w:sz w:val="26"/>
          <w:szCs w:val="26"/>
        </w:rPr>
      </w:r>
      <w:r>
        <w:rPr>
          <w:rStyle w:val="1054"/>
          <w:b w:val="0"/>
          <w:bCs/>
          <w:iCs/>
          <w:sz w:val="26"/>
          <w:szCs w:val="26"/>
        </w:rPr>
      </w:r>
      <w:r>
        <w:rPr>
          <w:rStyle w:val="1054"/>
          <w:b w:val="0"/>
          <w:bCs/>
          <w:iCs/>
          <w:sz w:val="26"/>
          <w:szCs w:val="26"/>
        </w:rPr>
      </w:r>
    </w:p>
    <w:tbl>
      <w:tblPr>
        <w:tblW w:w="9783" w:type="dxa"/>
        <w:jc w:val="center"/>
        <w:tblInd w:w="0" w:type="dxa"/>
        <w:tblBorders/>
        <w:tblLayout w:type="fixed"/>
        <w:tblCellMar>
          <w:left w:w="108" w:type="dxa"/>
          <w:top w:w="55" w:type="dxa"/>
          <w:right w:w="108" w:type="dxa"/>
          <w:bottom w:w="55" w:type="dxa"/>
        </w:tblCellMar>
        <w:tblLook w:val="04A0" w:firstRow="1" w:lastRow="0" w:firstColumn="1" w:lastColumn="0" w:noHBand="0" w:noVBand="1"/>
      </w:tblPr>
      <w:tblGrid>
        <w:gridCol w:w="1785"/>
        <w:gridCol w:w="7997"/>
      </w:tblGrid>
      <w:tr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120"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ППР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120"/>
              <w:ind/>
              <w:jc w:val="both"/>
              <w:rPr>
                <w:rStyle w:val="1054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Style w:val="1054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Проект производства работ</w:t>
            </w:r>
            <w:r>
              <w:rPr>
                <w:rStyle w:val="1054"/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rStyle w:val="1054"/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rPr>
          <w:cantSplit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120"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ГСМ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120"/>
              <w:ind/>
              <w:jc w:val="both"/>
              <w:rPr>
                <w:rStyle w:val="1054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rStyle w:val="1054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Горюче-смазочные материалы</w:t>
            </w:r>
            <w:r>
              <w:rPr>
                <w:rStyle w:val="1054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r>
            <w:r>
              <w:rPr>
                <w:rStyle w:val="1054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r>
          </w:p>
        </w:tc>
      </w:tr>
      <w:tr>
        <w:trPr>
          <w:cantSplit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120"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ДЭС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120"/>
              <w:ind/>
              <w:jc w:val="both"/>
              <w:rPr>
                <w:rStyle w:val="1054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Style w:val="1054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Дизельная электростанция</w:t>
            </w:r>
            <w:r>
              <w:rPr>
                <w:rStyle w:val="1054"/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rStyle w:val="1054"/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rPr>
          <w:cantSplit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120"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120"/>
              <w:ind/>
              <w:jc w:val="both"/>
              <w:rPr>
                <w:rStyle w:val="1054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Style w:val="1054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Технические требования</w:t>
            </w:r>
            <w:r>
              <w:rPr>
                <w:rStyle w:val="1054"/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rStyle w:val="1054"/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rPr>
          <w:cantSplit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120"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КС-2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120"/>
              <w:ind/>
              <w:jc w:val="both"/>
              <w:rPr>
                <w:rStyle w:val="1054"/>
                <w:bCs/>
                <w:i w:val="0"/>
                <w:iCs/>
                <w:sz w:val="24"/>
                <w:szCs w:val="24"/>
              </w:rPr>
            </w:pPr>
            <w:r>
              <w:rPr>
                <w:bCs/>
                <w:color w:val="202124"/>
                <w:sz w:val="24"/>
                <w:szCs w:val="24"/>
                <w:shd w:val="clear" w:color="auto" w:fill="ffffff"/>
              </w:rPr>
              <w:t xml:space="preserve">Форма акта о приемке выполненных работ</w:t>
            </w:r>
            <w:r>
              <w:rPr>
                <w:rStyle w:val="1054"/>
                <w:bCs/>
                <w:i w:val="0"/>
                <w:iCs/>
                <w:sz w:val="24"/>
                <w:szCs w:val="24"/>
              </w:rPr>
            </w:r>
            <w:r>
              <w:rPr>
                <w:rStyle w:val="1054"/>
                <w:bCs/>
                <w:i w:val="0"/>
                <w:iCs/>
                <w:sz w:val="24"/>
                <w:szCs w:val="24"/>
              </w:rPr>
            </w:r>
          </w:p>
        </w:tc>
      </w:tr>
      <w:tr>
        <w:trPr>
          <w:cantSplit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120"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КС-3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120"/>
              <w:ind/>
              <w:jc w:val="both"/>
              <w:rPr>
                <w:rStyle w:val="1054"/>
                <w:bCs/>
                <w:i w:val="0"/>
                <w:iCs/>
                <w:sz w:val="24"/>
                <w:szCs w:val="24"/>
              </w:rPr>
            </w:pPr>
            <w:r>
              <w:rPr>
                <w:bCs/>
                <w:color w:val="202124"/>
                <w:sz w:val="24"/>
                <w:szCs w:val="24"/>
                <w:shd w:val="clear" w:color="auto" w:fill="ffffff"/>
              </w:rPr>
              <w:t xml:space="preserve">Форма справки о стоимости выполненных работ и затрат</w:t>
            </w:r>
            <w:r>
              <w:rPr>
                <w:rStyle w:val="1054"/>
                <w:bCs/>
                <w:i w:val="0"/>
                <w:iCs/>
                <w:sz w:val="24"/>
                <w:szCs w:val="24"/>
              </w:rPr>
            </w:r>
            <w:r>
              <w:rPr>
                <w:rStyle w:val="1054"/>
                <w:bCs/>
                <w:i w:val="0"/>
                <w:iCs/>
                <w:sz w:val="24"/>
                <w:szCs w:val="24"/>
              </w:rPr>
            </w:r>
          </w:p>
        </w:tc>
      </w:tr>
      <w:tr>
        <w:trPr>
          <w:cantSplit/>
          <w:trHeight w:val="609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120"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ОС-3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120"/>
              <w:ind/>
              <w:jc w:val="both"/>
              <w:rPr>
                <w:rStyle w:val="1054"/>
                <w:bCs/>
                <w:i w:val="0"/>
                <w:iCs/>
                <w:sz w:val="24"/>
                <w:szCs w:val="24"/>
              </w:rPr>
            </w:pPr>
            <w:r>
              <w:rPr>
                <w:bCs/>
                <w:color w:val="202124"/>
                <w:sz w:val="24"/>
                <w:szCs w:val="24"/>
                <w:shd w:val="clear" w:color="auto" w:fill="ffffff"/>
              </w:rPr>
              <w:t xml:space="preserve">Акт о приеме-сдаче отремонтированных, реконструированных, модернизированных объектов основных средств</w:t>
            </w:r>
            <w:r>
              <w:rPr>
                <w:rStyle w:val="1054"/>
                <w:bCs/>
                <w:i w:val="0"/>
                <w:iCs/>
                <w:sz w:val="24"/>
                <w:szCs w:val="24"/>
              </w:rPr>
            </w:r>
            <w:r>
              <w:rPr>
                <w:rStyle w:val="1054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pStyle w:val="995"/>
        <w:keepNext w:val="true"/>
        <w:keepLines w:val="true"/>
        <w:pBdr/>
        <w:spacing/>
        <w:ind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keepNext w:val="true"/>
        <w:keepLines w:val="true"/>
        <w:pBdr/>
        <w:spacing/>
        <w:ind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keepNext w:val="true"/>
        <w:keepLines w:val="true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9"/>
        <w:numPr>
          <w:ilvl w:val="1"/>
          <w:numId w:val="3"/>
        </w:numPr>
        <w:pBdr/>
        <w:spacing/>
        <w:ind/>
        <w:rPr/>
      </w:pPr>
      <w:r/>
      <w:bookmarkStart w:id="6" w:name="__RefHeading___Toc15527_366233758"/>
      <w:r/>
      <w:bookmarkStart w:id="7" w:name="_Toc46743506"/>
      <w:r/>
      <w:bookmarkStart w:id="8" w:name="_Toc123118736"/>
      <w:r/>
      <w:bookmarkEnd w:id="6"/>
      <w:r>
        <w:t xml:space="preserve">Наименование закупаемой продукции</w:t>
      </w:r>
      <w:bookmarkEnd w:id="7"/>
      <w:r/>
      <w:bookmarkEnd w:id="8"/>
      <w:r/>
      <w:r/>
    </w:p>
    <w:p>
      <w:pPr>
        <w:pStyle w:val="995"/>
        <w:widowControl w:val="false"/>
        <w:pBdr/>
        <w:tabs>
          <w:tab w:val="left" w:leader="none" w:pos="426"/>
          <w:tab w:val="clear" w:leader="none" w:pos="708"/>
        </w:tabs>
        <w:spacing w:after="120" w:before="120"/>
        <w:ind/>
        <w:jc w:val="both"/>
        <w:rPr>
          <w:i w:val="0"/>
          <w:iCs w:val="0"/>
          <w:u w:val="none"/>
        </w:rPr>
      </w:pPr>
      <w:r>
        <w:rPr>
          <w:rFonts w:eastAsia="Calibri"/>
          <w:i w:val="0"/>
          <w:iCs w:val="0"/>
          <w:sz w:val="24"/>
          <w:szCs w:val="24"/>
          <w:u w:val="none"/>
        </w:rPr>
        <w:t xml:space="preserve">Обустройства навеса с бетонной площадкой для хранения бочкотар на Произовдственной базе п. Черский Нижнеколымского РЭС</w:t>
      </w:r>
      <w:r>
        <w:rPr>
          <w:i w:val="0"/>
          <w:iCs w:val="0"/>
          <w:u w:val="none"/>
        </w:rPr>
      </w:r>
      <w:r>
        <w:rPr>
          <w:i w:val="0"/>
          <w:iCs w:val="0"/>
          <w:u w:val="none"/>
        </w:rPr>
      </w:r>
    </w:p>
    <w:p>
      <w:pPr>
        <w:pStyle w:val="999"/>
        <w:numPr>
          <w:ilvl w:val="1"/>
          <w:numId w:val="3"/>
        </w:numPr>
        <w:pBdr/>
        <w:spacing w:after="60" w:before="240"/>
        <w:ind w:hanging="431" w:left="431"/>
        <w:rPr>
          <w:rStyle w:val="1054"/>
          <w:b/>
        </w:rPr>
      </w:pPr>
      <w:r/>
      <w:bookmarkStart w:id="9" w:name="__RefHeading___Toc15529_366233758"/>
      <w:r/>
      <w:bookmarkStart w:id="10" w:name="_Toc123118737"/>
      <w:r/>
      <w:bookmarkStart w:id="11" w:name="_Toc46743507"/>
      <w:r/>
      <w:bookmarkEnd w:id="9"/>
      <w:r>
        <w:t xml:space="preserve">Цель </w:t>
      </w:r>
      <w:bookmarkEnd w:id="11"/>
      <w:r>
        <w:t xml:space="preserve">выполнения работ</w:t>
      </w:r>
      <w:bookmarkEnd w:id="10"/>
      <w:r>
        <w:t xml:space="preserve"> </w:t>
      </w:r>
      <w:r>
        <w:rPr>
          <w:rStyle w:val="1054"/>
          <w:b/>
        </w:rPr>
      </w:r>
      <w:r>
        <w:rPr>
          <w:rStyle w:val="1054"/>
          <w:b/>
        </w:rPr>
      </w:r>
    </w:p>
    <w:p>
      <w:pPr>
        <w:pStyle w:val="995"/>
        <w:pBdr/>
        <w:spacing/>
        <w:ind/>
        <w:jc w:val="both"/>
        <w:rPr/>
      </w:pPr>
      <w:r>
        <w:rPr>
          <w:rFonts w:eastAsia="Calibri"/>
          <w:bCs/>
          <w:sz w:val="24"/>
          <w:szCs w:val="24"/>
        </w:rPr>
        <w:t xml:space="preserve">Ремонтная программа 2026 г.</w:t>
      </w:r>
      <w:r/>
    </w:p>
    <w:p>
      <w:pPr>
        <w:pStyle w:val="999"/>
        <w:numPr>
          <w:ilvl w:val="0"/>
          <w:numId w:val="0"/>
        </w:numPr>
        <w:pBdr/>
        <w:spacing/>
        <w:ind w:hanging="432" w:left="432"/>
        <w:rPr/>
      </w:pPr>
      <w:r/>
      <w:bookmarkStart w:id="12" w:name="__RefHeading___Toc15531_366233758"/>
      <w:r/>
      <w:bookmarkStart w:id="13" w:name="_Toc123118738"/>
      <w:r/>
      <w:bookmarkEnd w:id="12"/>
      <w:r>
        <w:t xml:space="preserve">Таблица 1. Перечень объектов заказчика</w:t>
      </w:r>
      <w:bookmarkEnd w:id="13"/>
      <w:r/>
      <w:r/>
    </w:p>
    <w:tbl>
      <w:tblPr>
        <w:tblW w:w="9918" w:type="dxa"/>
        <w:tblInd w:w="113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817"/>
        <w:gridCol w:w="2569"/>
        <w:gridCol w:w="2279"/>
        <w:gridCol w:w="2680"/>
        <w:gridCol w:w="1573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9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9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/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0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 xml:space="preserve">(в отношении которого выполняются работы)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3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9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9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0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3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8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pStyle w:val="1100"/>
              <w:widowControl w:val="false"/>
              <w:numPr>
                <w:ilvl w:val="0"/>
                <w:numId w:val="6"/>
              </w:numPr>
              <w:pBdr/>
              <w:spacing/>
              <w:ind/>
              <w:jc w:val="center"/>
              <w:rPr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9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Склад горюче-смазочных материалов ДЭС п.Черский Нижнеколымского РЭС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9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Республика Саха (Якутия), Нижнеколымский  район, п.Черский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0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3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999"/>
        <w:numPr>
          <w:ilvl w:val="1"/>
          <w:numId w:val="3"/>
        </w:numPr>
        <w:pBdr/>
        <w:spacing/>
        <w:ind/>
        <w:rPr>
          <w:rStyle w:val="1054"/>
          <w:b/>
        </w:rPr>
      </w:pPr>
      <w:r/>
      <w:bookmarkStart w:id="14" w:name="__RefHeading___Toc15533_366233758"/>
      <w:r/>
      <w:bookmarkStart w:id="15" w:name="_Toc123118739"/>
      <w:r/>
      <w:bookmarkEnd w:id="14"/>
      <w:r>
        <w:t xml:space="preserve">Иные требования и сведения общего характера</w:t>
      </w:r>
      <w:bookmarkEnd w:id="15"/>
      <w:r>
        <w:t xml:space="preserve"> </w:t>
      </w:r>
      <w:r>
        <w:rPr>
          <w:rStyle w:val="1054"/>
          <w:b/>
        </w:rPr>
      </w:r>
      <w:r>
        <w:rPr>
          <w:rStyle w:val="1054"/>
          <w:b/>
        </w:rPr>
      </w:r>
    </w:p>
    <w:p>
      <w:pPr>
        <w:pStyle w:val="995"/>
        <w:pBdr/>
        <w:spacing/>
        <w: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Полная детализация выполняемых работ указана в перечне и объемах выполняемых работ (Таблица №2), являющейся неотъемлемой частью настоящих технических требований.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6"/>
        <w:keepLines w:val="true"/>
        <w:numPr>
          <w:ilvl w:val="0"/>
          <w:numId w:val="3"/>
        </w:numPr>
        <w:pBdr/>
        <w:spacing/>
        <w:ind w:hanging="357" w:left="357"/>
        <w:jc w:val="center"/>
        <w:rPr>
          <w:iCs/>
          <w:caps/>
        </w:rPr>
      </w:pPr>
      <w:r/>
      <w:bookmarkStart w:id="16" w:name="__RefHeading___Toc15535_366233758"/>
      <w:r/>
      <w:bookmarkStart w:id="17" w:name="_Toc123118740"/>
      <w:r/>
      <w:bookmarkStart w:id="18" w:name="_Toc51339693"/>
      <w:r/>
      <w:bookmarkEnd w:id="16"/>
      <w:r>
        <w:rPr>
          <w:iCs/>
        </w:rPr>
        <w:t xml:space="preserve">Требования к продукции</w:t>
      </w:r>
      <w:bookmarkEnd w:id="17"/>
      <w:r/>
      <w:bookmarkEnd w:id="18"/>
      <w:r>
        <w:rPr>
          <w:iCs/>
          <w:caps/>
        </w:rPr>
      </w:r>
      <w:r>
        <w:rPr>
          <w:iCs/>
          <w:caps/>
        </w:rPr>
      </w:r>
    </w:p>
    <w:p>
      <w:pPr>
        <w:pStyle w:val="999"/>
        <w:numPr>
          <w:ilvl w:val="1"/>
          <w:numId w:val="3"/>
        </w:numPr>
        <w:pBdr/>
        <w:spacing/>
        <w:ind/>
        <w:rPr/>
      </w:pPr>
      <w:r/>
      <w:bookmarkStart w:id="19" w:name="__RefHeading___Toc15537_366233758"/>
      <w:r/>
      <w:bookmarkStart w:id="20" w:name="_Toc123118741"/>
      <w:r/>
      <w:bookmarkEnd w:id="19"/>
      <w:r>
        <w:t xml:space="preserve">Требования к объемам и срокам выполнения работ</w:t>
      </w:r>
      <w:bookmarkEnd w:id="20"/>
      <w:r/>
      <w:r/>
    </w:p>
    <w:p>
      <w:pPr>
        <w:pStyle w:val="998"/>
        <w:numPr>
          <w:ilvl w:val="2"/>
          <w:numId w:val="3"/>
        </w:numPr>
        <w:pBdr/>
        <w:spacing/>
        <w:ind/>
        <w:rPr/>
      </w:pPr>
      <w:r/>
      <w:bookmarkStart w:id="21" w:name="__RefHeading___Toc15539_366233758"/>
      <w:r/>
      <w:bookmarkStart w:id="22" w:name="_Toc123118742"/>
      <w:r/>
      <w:bookmarkEnd w:id="21"/>
      <w:r>
        <w:t xml:space="preserve">Требования к видам и объемам работ</w:t>
      </w:r>
      <w:bookmarkEnd w:id="22"/>
      <w:r/>
      <w:r/>
    </w:p>
    <w:p>
      <w:pPr>
        <w:pStyle w:val="999"/>
        <w:numPr>
          <w:ilvl w:val="0"/>
          <w:numId w:val="0"/>
        </w:numPr>
        <w:pBdr/>
        <w:spacing/>
        <w:ind w:hanging="432" w:left="432"/>
        <w:rPr/>
      </w:pPr>
      <w:r/>
      <w:bookmarkStart w:id="23" w:name="__RefHeading___Toc15541_366233758"/>
      <w:r/>
      <w:bookmarkStart w:id="24" w:name="_Toc123118743"/>
      <w:r/>
      <w:bookmarkStart w:id="25" w:name="_Toc51339695"/>
      <w:r/>
      <w:bookmarkEnd w:id="23"/>
      <w:r>
        <w:t xml:space="preserve">Таблица 2. Перечень </w:t>
      </w:r>
      <w:bookmarkEnd w:id="25"/>
      <w:r>
        <w:t xml:space="preserve">и объем выполняемых работ</w:t>
      </w:r>
      <w:bookmarkEnd w:id="24"/>
      <w:r/>
      <w:r/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  <w:r/>
    </w:p>
    <w:tbl>
      <w:tblPr>
        <w:tblStyle w:val="1257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574"/>
        <w:gridCol w:w="6236"/>
        <w:gridCol w:w="1559"/>
        <w:gridCol w:w="1559"/>
      </w:tblGrid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№ п/п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Вид работ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Единица измерения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Количество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single"/>
                <w:vertAlign w:val="baseline"/>
              </w:rPr>
              <w:t xml:space="preserve">Раздел 1. Устройство основания из ПГС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Отсыпка основания из ПГС h=200мм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Планировка и уплотнение виброплитой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single"/>
                <w:vertAlign w:val="baseline"/>
              </w:rPr>
              <w:t xml:space="preserve">Раздел 2. Устройство фундамента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Земляные и опалубочные работы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1,87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Выемка (вручную) траншеи под обваловку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3,6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Засыпка траншеи щебнем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3,6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Монтаж колышек и подкосов. Брусок 50*50мм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0,17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Монтаж боковых щитов. Доска обрезная 40*150*6000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1,7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Саморез по дереву 4,2*70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Армирование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Армирование обвалования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Продольная арматура. Арматура 8 A-III 4 ряда по 2шт, м=0,395кг(м)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296/0,117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9933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Поперечная арматура(хомут). Арматура 8 А-III шаг 200мм*200мм, м=0,395кг/м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322/0,128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Усиление. Арматура ∅8мм, А-III(А400) шаг 200мм, м=0,395кг(м)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282/0,112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2.1.4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Вязальная проволока 1,6мм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2.2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Армирование монолитной плиты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Арматура ∅8мм, А-III(А400)в шахматном порядке шаг 200мм*200мм 2ряда, м=0,395кг(м)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950/0,376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2.2.2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Усиление. Арматура 8 А-III шаг 200мм*200мм, м=0,395кг/м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350/0,138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2.2.3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Вязальная проволока 1,6мм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Бетонирование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3.1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Приготовление и заливка бетонного раствора обвалования В15 (вручную)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3.2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Приготовление и заливка бетонного раствора монолитной плиты В15 (вручную)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Демонтажные работы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Демонтаж опалубки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1,87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single"/>
                <w:vertAlign w:val="baseline"/>
              </w:rPr>
              <w:t xml:space="preserve">Раздел 3. Устройство навеса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каркаса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Лист ст. 5мм рифленый чечевица (40,5кг) (закладная деталь)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м2/тн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1/0,041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Труба стальная квадратная 100*100*4мм (11,84кг) — Опоры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24/0,284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Уголок 50*50*5мм (3,77кг) — Обвязка опор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216/0,815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Труба профильная 80*80*4мм (9,33кг)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24/0,224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Лист ст. 5мм рифленый чечевица (40,5кг)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м2/тн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1/0,041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кровли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Швеллер16П (14,2кг)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48/0,681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Швеллер 12П (10,4кг)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60/0,624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Уголок 50*50*5мм (3,77кг)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48/0,181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Профнастил НС-35 (6,4кг)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м2/тн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78/0,500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пандуса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Уголок 40*40*4мм (2,42кг/м)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60/0,146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Полоса стальная 5*50мм (1,963кг)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54/0,106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Труба профильная 60*60*4мм (6,82кг)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36/0,246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Лист ст. 5мм рифленый чечевица (40,5кг)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м2/тн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18/0,729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Труба профильная 80*80*4мм (9,33кг)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12/0,112</w:t>
            </w:r>
            <w:r/>
          </w:p>
        </w:tc>
      </w:tr>
    </w:tbl>
    <w:p>
      <w:pPr>
        <w:pStyle w:val="995"/>
        <w:pBdr/>
        <w:spacing w:after="0" w:before="0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8"/>
        <w:numPr>
          <w:ilvl w:val="2"/>
          <w:numId w:val="3"/>
        </w:numPr>
        <w:pBdr/>
        <w:spacing/>
        <w:ind/>
        <w:rPr/>
      </w:pPr>
      <w:r/>
      <w:bookmarkStart w:id="26" w:name="__RefHeading___Toc15543_366233758"/>
      <w:r/>
      <w:bookmarkStart w:id="27" w:name="_Toc123118744"/>
      <w:r/>
      <w:bookmarkStart w:id="28" w:name="_Toc51339696"/>
      <w:r/>
      <w:bookmarkEnd w:id="26"/>
      <w:r>
        <w:t xml:space="preserve">Требования </w:t>
      </w:r>
      <w:bookmarkEnd w:id="28"/>
      <w:r>
        <w:t xml:space="preserve">к срокам выполнения работ</w:t>
      </w:r>
      <w:bookmarkEnd w:id="27"/>
      <w:r/>
      <w:r/>
    </w:p>
    <w:p>
      <w:pPr>
        <w:pStyle w:val="999"/>
        <w:numPr>
          <w:ilvl w:val="0"/>
          <w:numId w:val="0"/>
        </w:numPr>
        <w:pBdr/>
        <w:spacing/>
        <w:ind w:hanging="432" w:left="432"/>
        <w:rPr/>
      </w:pPr>
      <w:r/>
      <w:bookmarkStart w:id="29" w:name="__RefHeading___Toc15545_366233758"/>
      <w:r/>
      <w:bookmarkStart w:id="30" w:name="_Toc123118745"/>
      <w:r/>
      <w:bookmarkStart w:id="31" w:name="_Toc51339697"/>
      <w:r/>
      <w:bookmarkStart w:id="32" w:name="_Toc50125127"/>
      <w:r/>
      <w:bookmarkEnd w:id="29"/>
      <w:r>
        <w:t xml:space="preserve">Таблица 3. </w:t>
      </w:r>
      <w:bookmarkStart w:id="33" w:name="_Hlk50465284"/>
      <w:r>
        <w:t xml:space="preserve">Требования по срокам </w:t>
      </w:r>
      <w:bookmarkEnd w:id="31"/>
      <w:r/>
      <w:bookmarkEnd w:id="32"/>
      <w:r/>
      <w:bookmarkEnd w:id="33"/>
      <w:r>
        <w:t xml:space="preserve">выполнения работ</w:t>
      </w:r>
      <w:bookmarkEnd w:id="30"/>
      <w:r/>
      <w:r/>
      <w:r/>
      <w:r/>
      <w:r/>
    </w:p>
    <w:tbl>
      <w:tblPr>
        <w:tblW w:w="9776" w:type="dxa"/>
        <w:tblInd w:w="113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2"/>
        <w:gridCol w:w="4395"/>
        <w:gridCol w:w="2418"/>
        <w:gridCol w:w="2400"/>
      </w:tblGrid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5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8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0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 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5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8" w:type="dxa"/>
            <w:textDirection w:val="lrTb"/>
            <w:noWrap w:val="false"/>
          </w:tcPr>
          <w:p>
            <w:pPr>
              <w:pStyle w:val="1112"/>
              <w:keepNext w:val="false"/>
              <w:widowControl w:val="false"/>
              <w:pBdr/>
              <w:spacing w:after="40" w:before="40"/>
              <w:ind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0" w:type="dxa"/>
            <w:textDirection w:val="lrTb"/>
            <w:noWrap w:val="false"/>
          </w:tcPr>
          <w:p>
            <w:pPr>
              <w:pStyle w:val="1112"/>
              <w:keepNext w:val="false"/>
              <w:widowControl w:val="false"/>
              <w:pBdr/>
              <w:spacing w:after="40" w:before="40"/>
              <w:ind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2" w:type="dxa"/>
            <w:textDirection w:val="lrTb"/>
            <w:noWrap w:val="false"/>
          </w:tcPr>
          <w:p>
            <w:pPr>
              <w:pStyle w:val="1100"/>
              <w:widowControl w:val="false"/>
              <w:numPr>
                <w:ilvl w:val="0"/>
                <w:numId w:val="7"/>
              </w:numPr>
              <w:pBdr/>
              <w:spacing/>
              <w:ind/>
              <w:jc w:val="center"/>
              <w:rPr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5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120" w:before="120"/>
              <w:ind/>
              <w:jc w:val="both"/>
              <w:rPr>
                <w:i w:val="0"/>
                <w:iCs w:val="0"/>
                <w:u w:val="none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  <w:u w:val="none"/>
              </w:rPr>
              <w:t xml:space="preserve">Обустройства навеса с бетонной площадкой для хранения бочкотар на Произовдственной базе п. Черский Нижнеколымского РЭС</w:t>
            </w:r>
            <w:r>
              <w:rPr>
                <w:i w:val="0"/>
                <w:iCs w:val="0"/>
                <w:u w:val="none"/>
              </w:rPr>
            </w:r>
            <w:r>
              <w:rPr>
                <w:i w:val="0"/>
                <w:iCs w:val="0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8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даты заключения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0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позднее </w:t>
            </w:r>
            <w:r>
              <w:rPr>
                <w:sz w:val="24"/>
                <w:szCs w:val="24"/>
              </w:rPr>
              <w:t xml:space="preserve">30.0</w:t>
            </w:r>
            <w:r>
              <w:rPr>
                <w:sz w:val="24"/>
                <w:szCs w:val="24"/>
              </w:rPr>
              <w:t xml:space="preserve">9.2026 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99"/>
        <w:numPr>
          <w:ilvl w:val="0"/>
          <w:numId w:val="0"/>
        </w:numPr>
        <w:pBdr/>
        <w:spacing/>
        <w:ind w:hanging="432" w:left="432"/>
        <w:rPr/>
      </w:pPr>
      <w:r>
        <w:t xml:space="preserve">Таблица 3.1. Календарный график выполнения работ</w:t>
      </w:r>
      <w:r/>
    </w:p>
    <w:tbl>
      <w:tblPr>
        <w:tblW w:w="9780" w:type="dxa"/>
        <w:tblInd w:w="108" w:type="dxa"/>
        <w:tblBorders/>
        <w:tblLayout w:type="fixed"/>
        <w:tblCellMar>
          <w:left w:w="108" w:type="dxa"/>
          <w:top w:w="28" w:type="dxa"/>
          <w:right w:w="108" w:type="dxa"/>
          <w:bottom w:w="28" w:type="dxa"/>
        </w:tblCellMar>
        <w:tblLook w:val="04A0" w:firstRow="1" w:lastRow="0" w:firstColumn="1" w:lastColumn="0" w:noHBand="0" w:noVBand="1"/>
      </w:tblPr>
      <w:tblGrid>
        <w:gridCol w:w="840"/>
        <w:gridCol w:w="6807"/>
        <w:gridCol w:w="2133"/>
      </w:tblGrid>
      <w:tr>
        <w:trPr>
          <w:trHeight w:val="675" w:hRule="exact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40" w:type="dxa"/>
            <w:vAlign w:val="center"/>
            <w:textDirection w:val="lrTb"/>
            <w:noWrap w:val="false"/>
          </w:tcPr>
          <w:p>
            <w:pPr>
              <w:pStyle w:val="1125"/>
              <w:widowControl w:val="false"/>
              <w:suppressLineNumbers w:val="true"/>
              <w:pBdr/>
              <w:bidi w:val="false"/>
              <w:spacing w:after="283" w:before="0"/>
              <w:ind w:right="57" w:firstLine="0" w:left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№ </w:t>
            </w:r>
            <w:r>
              <w:rPr>
                <w:b w:val="0"/>
                <w:bCs w:val="0"/>
                <w:sz w:val="24"/>
                <w:szCs w:val="24"/>
              </w:rPr>
              <w:t xml:space="preserve">п/п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807" w:type="dxa"/>
            <w:vAlign w:val="center"/>
            <w:textDirection w:val="lrTb"/>
            <w:noWrap w:val="false"/>
          </w:tcPr>
          <w:p>
            <w:pPr>
              <w:pStyle w:val="1125"/>
              <w:widowControl w:val="false"/>
              <w:pBdr/>
              <w:spacing w:after="283" w:before="0"/>
              <w:ind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Мероприятие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1125"/>
              <w:widowControl w:val="false"/>
              <w:pBdr/>
              <w:spacing w:after="283" w:before="0"/>
              <w:ind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Период выполнения работ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rPr>
          <w:trHeight w:val="375" w:hRule="exact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40" w:type="dxa"/>
            <w:vAlign w:val="center"/>
            <w:textDirection w:val="lrTb"/>
            <w:noWrap w:val="false"/>
          </w:tcPr>
          <w:p>
            <w:pPr>
              <w:pStyle w:val="1125"/>
              <w:widowControl w:val="false"/>
              <w:suppressLineNumbers w:val="false"/>
              <w:pBdr/>
              <w:bidi w:val="false"/>
              <w:spacing w:after="0" w:before="0" w:line="240" w:lineRule="auto"/>
              <w:ind w:right="57" w:firstLine="0" w:left="0"/>
              <w:contextualSpacing w:val="false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807" w:type="dxa"/>
            <w:vAlign w:val="center"/>
            <w:textDirection w:val="lrTb"/>
            <w:noWrap w:val="false"/>
          </w:tcPr>
          <w:p>
            <w:pPr>
              <w:pStyle w:val="1125"/>
              <w:widowControl w:val="false"/>
              <w:suppressLineNumbers w:val="false"/>
              <w:pBdr/>
              <w:spacing w:after="0" w:before="0" w:line="240" w:lineRule="auto"/>
              <w:ind/>
              <w:contextualSpacing w:val="false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1125"/>
              <w:widowControl w:val="false"/>
              <w:suppressLineNumbers w:val="false"/>
              <w:pBdr/>
              <w:spacing w:after="0" w:before="0" w:line="240" w:lineRule="auto"/>
              <w:ind/>
              <w:contextualSpacing w:val="false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</w:tr>
      <w:tr>
        <w:trPr/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40" w:type="dxa"/>
            <w:vAlign w:val="center"/>
            <w:vMerge w:val="restart"/>
            <w:textDirection w:val="lrTb"/>
            <w:noWrap w:val="false"/>
          </w:tcPr>
          <w:p>
            <w:pPr>
              <w:pStyle w:val="1125"/>
              <w:widowControl w:val="false"/>
              <w:suppressLineNumbers w:val="false"/>
              <w:pBdr/>
              <w:bidi w:val="false"/>
              <w:spacing w:after="0" w:before="0" w:line="240" w:lineRule="auto"/>
              <w:ind w:right="57" w:firstLine="0" w:left="0"/>
              <w:contextualSpacing w:val="false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</w:t>
            </w:r>
            <w:r>
              <w:rPr>
                <w:sz w:val="24"/>
                <w:szCs w:val="2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807" w:type="dxa"/>
            <w:vAlign w:val="center"/>
            <w:vMerge w:val="restart"/>
            <w:textDirection w:val="lrTb"/>
            <w:noWrap w:val="false"/>
          </w:tcPr>
          <w:p>
            <w:pPr>
              <w:pStyle w:val="1125"/>
              <w:widowControl w:val="false"/>
              <w:suppressLineNumbers w:val="false"/>
              <w:pBdr/>
              <w:spacing w:after="0" w:before="0" w:line="240" w:lineRule="auto"/>
              <w:ind/>
              <w:contextualSpacing w:val="false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Бетонные работы</w:t>
            </w:r>
            <w:r>
              <w:rPr>
                <w:color w:val="000000"/>
                <w:sz w:val="22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vMerge w:val="restart"/>
            <w:textDirection w:val="lrTb"/>
            <w:noWrap w:val="false"/>
          </w:tcPr>
          <w:p>
            <w:pPr>
              <w:pStyle w:val="1125"/>
              <w:widowControl w:val="false"/>
              <w:suppressLineNumbers w:val="false"/>
              <w:pBdr/>
              <w:spacing w:after="0" w:before="0" w:line="240" w:lineRule="auto"/>
              <w:ind/>
              <w:contextualSpacing w:val="false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 31.08.2026 г.</w:t>
            </w:r>
            <w:r>
              <w:rPr>
                <w:sz w:val="22"/>
              </w:rPr>
            </w:r>
          </w:p>
        </w:tc>
      </w:tr>
      <w:tr>
        <w:trPr/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40" w:type="dxa"/>
            <w:vAlign w:val="center"/>
            <w:textDirection w:val="lrTb"/>
            <w:noWrap w:val="false"/>
          </w:tcPr>
          <w:p>
            <w:pPr>
              <w:pStyle w:val="1125"/>
              <w:widowControl w:val="false"/>
              <w:suppressLineNumbers w:val="false"/>
              <w:pBdr/>
              <w:bidi w:val="false"/>
              <w:spacing w:after="0" w:before="0" w:line="240" w:lineRule="auto"/>
              <w:ind w:right="57" w:firstLine="0" w:left="0"/>
              <w:contextualSpacing w:val="false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</w:t>
            </w:r>
            <w:r>
              <w:rPr>
                <w:sz w:val="24"/>
                <w:szCs w:val="2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807" w:type="dxa"/>
            <w:vAlign w:val="center"/>
            <w:textDirection w:val="lrTb"/>
            <w:noWrap w:val="false"/>
          </w:tcPr>
          <w:p>
            <w:pPr>
              <w:pStyle w:val="1125"/>
              <w:widowControl w:val="false"/>
              <w:suppressLineNumbers w:val="false"/>
              <w:pBdr/>
              <w:spacing w:after="0" w:before="0" w:line="240" w:lineRule="auto"/>
              <w:ind/>
              <w:contextualSpacing w:val="false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Сварочные работы</w:t>
            </w:r>
            <w:r>
              <w:rPr>
                <w:color w:val="000000"/>
                <w:sz w:val="22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1125"/>
              <w:widowControl w:val="false"/>
              <w:suppressLineNumbers w:val="false"/>
              <w:pBdr/>
              <w:spacing w:after="0" w:before="0" w:line="240" w:lineRule="auto"/>
              <w:ind/>
              <w:contextualSpacing w:val="false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 30.0</w:t>
            </w:r>
            <w:r>
              <w:rPr>
                <w:sz w:val="22"/>
              </w:rPr>
              <w:t xml:space="preserve">9.2026 г.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65"/>
        <w:pBdr/>
        <w:spacing w:after="0" w:before="0"/>
        <w:ind/>
        <w:rPr/>
      </w:pPr>
      <w:r/>
      <w:r/>
    </w:p>
    <w:p>
      <w:pPr>
        <w:pStyle w:val="995"/>
        <w:numPr>
          <w:ilvl w:val="0"/>
          <w:numId w:val="0"/>
        </w:numPr>
        <w:pBdr/>
        <w:spacing/>
        <w:ind w:hanging="432" w:left="432"/>
        <w:rPr/>
      </w:pPr>
      <w:r/>
      <w:r/>
    </w:p>
    <w:p>
      <w:pPr>
        <w:pStyle w:val="995"/>
        <w:numPr>
          <w:ilvl w:val="0"/>
          <w:numId w:val="0"/>
        </w:numPr>
        <w:pBdr/>
        <w:spacing/>
        <w:ind w:hanging="432" w:left="432"/>
        <w:rPr/>
      </w:pPr>
      <w:r/>
      <w:r/>
    </w:p>
    <w:p>
      <w:pPr>
        <w:pStyle w:val="995"/>
        <w:numPr>
          <w:ilvl w:val="0"/>
          <w:numId w:val="0"/>
        </w:numPr>
        <w:pBdr/>
        <w:spacing/>
        <w:ind w:hanging="432" w:left="432"/>
        <w:rPr/>
      </w:pPr>
      <w:r/>
      <w:r/>
    </w:p>
    <w:p>
      <w:pPr>
        <w:pStyle w:val="995"/>
        <w:numPr>
          <w:ilvl w:val="0"/>
          <w:numId w:val="0"/>
        </w:numPr>
        <w:pBdr/>
        <w:spacing/>
        <w:ind w:hanging="432" w:left="432"/>
        <w:rPr/>
      </w:pPr>
      <w:r/>
      <w:r/>
    </w:p>
    <w:p>
      <w:pPr>
        <w:pStyle w:val="995"/>
        <w:numPr>
          <w:ilvl w:val="0"/>
          <w:numId w:val="0"/>
        </w:numPr>
        <w:pBdr/>
        <w:spacing/>
        <w:ind w:hanging="432" w:left="432"/>
        <w:rPr/>
      </w:pPr>
      <w:r/>
      <w:r/>
    </w:p>
    <w:p>
      <w:pPr>
        <w:pStyle w:val="995"/>
        <w:numPr>
          <w:ilvl w:val="0"/>
          <w:numId w:val="0"/>
        </w:numPr>
        <w:pBdr/>
        <w:spacing/>
        <w:ind w:hanging="432" w:left="432"/>
        <w:rPr/>
      </w:pPr>
      <w:r/>
      <w:r/>
    </w:p>
    <w:p>
      <w:pPr>
        <w:pStyle w:val="995"/>
        <w:numPr>
          <w:ilvl w:val="0"/>
          <w:numId w:val="0"/>
        </w:numPr>
        <w:pBdr/>
        <w:spacing/>
        <w:ind w:hanging="432" w:left="432"/>
        <w:rPr/>
      </w:pPr>
      <w:r/>
      <w:r/>
    </w:p>
    <w:p>
      <w:pPr>
        <w:pStyle w:val="995"/>
        <w:numPr>
          <w:ilvl w:val="0"/>
          <w:numId w:val="0"/>
        </w:numPr>
        <w:pBdr/>
        <w:spacing/>
        <w:ind w:hanging="432" w:left="432"/>
        <w:rPr/>
      </w:pPr>
      <w:r/>
      <w:r/>
    </w:p>
    <w:p>
      <w:pPr>
        <w:pStyle w:val="995"/>
        <w:numPr>
          <w:ilvl w:val="0"/>
          <w:numId w:val="0"/>
        </w:numPr>
        <w:pBdr/>
        <w:spacing/>
        <w:ind w:hanging="432" w:left="432"/>
        <w:rPr/>
        <w:sectPr>
          <w:headerReference w:type="default" r:id="rId9"/>
          <w:headerReference w:type="even" r:id="rId10"/>
          <w:footerReference w:type="default" r:id="rId20"/>
          <w:footerReference w:type="first" r:id="rId21"/>
          <w:footnotePr/>
          <w:endnotePr/>
          <w:type w:val="nextPage"/>
          <w:pgSz w:h="16838" w:orient="portrait" w:w="11906"/>
          <w:pgMar w:top="680" w:right="851" w:bottom="1597" w:left="1134" w:header="0" w:footer="992" w:gutter="0"/>
          <w:cols w:num="1" w:sep="0" w:space="1701" w:equalWidth="1"/>
          <w:titlePg/>
        </w:sectPr>
      </w:pPr>
      <w:r/>
      <w:r/>
    </w:p>
    <w:p>
      <w:pPr>
        <w:pStyle w:val="999"/>
        <w:numPr>
          <w:ilvl w:val="1"/>
          <w:numId w:val="3"/>
        </w:numPr>
        <w:pBdr/>
        <w:spacing/>
        <w:ind/>
        <w:rPr/>
      </w:pPr>
      <w:r/>
      <w:bookmarkStart w:id="34" w:name="__RefHeading___Toc15547_366233758"/>
      <w:r/>
      <w:bookmarkStart w:id="35" w:name="_Toc123118746"/>
      <w:r/>
      <w:bookmarkEnd w:id="34"/>
      <w:r>
        <w:t xml:space="preserve">Требования к качеству работ</w:t>
      </w:r>
      <w:bookmarkEnd w:id="35"/>
      <w:r/>
      <w:r/>
    </w:p>
    <w:p>
      <w:pPr>
        <w:pStyle w:val="999"/>
        <w:numPr>
          <w:ilvl w:val="0"/>
          <w:numId w:val="0"/>
        </w:numPr>
        <w:pBdr/>
        <w:spacing/>
        <w:ind w:firstLine="0" w:left="0"/>
        <w:rPr/>
      </w:pPr>
      <w:r/>
      <w:bookmarkStart w:id="36" w:name="__RefHeading___Toc15549_366233758"/>
      <w:r/>
      <w:bookmarkStart w:id="37" w:name="_Toc123118747"/>
      <w:r/>
      <w:bookmarkStart w:id="38" w:name="_Toc51339698"/>
      <w:r/>
      <w:bookmarkEnd w:id="36"/>
      <w:r>
        <w:t xml:space="preserve">Таблица 4. Требования к </w:t>
      </w:r>
      <w:bookmarkEnd w:id="38"/>
      <w:r>
        <w:t xml:space="preserve">качеству работ</w:t>
      </w:r>
      <w:bookmarkEnd w:id="37"/>
      <w:r>
        <w:t xml:space="preserve"> </w:t>
      </w:r>
      <w:r/>
    </w:p>
    <w:p>
      <w:pPr>
        <w:pStyle w:val="995"/>
        <w:pBdr/>
        <w:spacing w:after="120" w:before="0"/>
        <w:ind/>
        <w:rPr>
          <w:rStyle w:val="1054"/>
          <w:i w:val="0"/>
          <w:sz w:val="24"/>
          <w:shd w:val="clear" w:color="auto" w:fill="auto"/>
        </w:rPr>
      </w:pPr>
      <w:r>
        <w:rPr>
          <w:b/>
          <w:bCs/>
          <w:sz w:val="24"/>
          <w:szCs w:val="24"/>
        </w:rPr>
        <w:t xml:space="preserve">Наименование работ/этапа работ (Таблицы 2):</w:t>
      </w:r>
      <w:r>
        <w:rPr>
          <w:b/>
          <w:bCs/>
          <w:sz w:val="22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Style w:val="1054"/>
          <w:rFonts w:eastAsia="Calibri" w:cs="Times New Roman"/>
          <w:bCs/>
          <w:i w:val="0"/>
          <w:iCs w:val="0"/>
          <w:sz w:val="24"/>
          <w:szCs w:val="24"/>
          <w:u w:val="none"/>
          <w:shd w:val="clear" w:color="auto" w:fill="auto"/>
          <w:lang w:eastAsia="ru-RU"/>
        </w:rPr>
        <w:t xml:space="preserve">Обустройства навеса с бетонной площадкой для хранения бочкотар на Произовдственной базе п. Черский Нижнеколымского РЭС</w:t>
      </w:r>
      <w:r>
        <w:rPr>
          <w:rStyle w:val="1054"/>
          <w:i w:val="0"/>
          <w:sz w:val="24"/>
          <w:shd w:val="clear" w:color="auto" w:fill="auto"/>
        </w:rPr>
      </w:r>
      <w:r>
        <w:rPr>
          <w:rStyle w:val="1054"/>
          <w:i w:val="0"/>
          <w:sz w:val="24"/>
          <w:shd w:val="clear" w:color="auto" w:fill="auto"/>
        </w:rPr>
      </w:r>
    </w:p>
    <w:p>
      <w:pPr>
        <w:pStyle w:val="995"/>
        <w:pBdr/>
        <w:spacing/>
        <w:ind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tbl>
      <w:tblPr>
        <w:tblStyle w:val="1259"/>
        <w:tblW w:w="15309" w:type="dxa"/>
        <w:tblInd w:w="10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17"/>
        <w:gridCol w:w="3331"/>
        <w:gridCol w:w="369"/>
        <w:gridCol w:w="3821"/>
        <w:gridCol w:w="1862"/>
        <w:gridCol w:w="2716"/>
        <w:gridCol w:w="2392"/>
      </w:tblGrid>
      <w:tr>
        <w:trPr/>
        <w:tc>
          <w:tcPr>
            <w:tcBorders/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/>
            <w:tcW w:w="3700" w:type="dxa"/>
            <w:vAlign w:val="center"/>
            <w:vMerge w:val="restart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3821" w:type="dxa"/>
            <w:vAlign w:val="center"/>
            <w:vMerge w:val="restart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/>
            <w:tcW w:w="4578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2392" w:type="dxa"/>
            <w:vAlign w:val="center"/>
            <w:vMerge w:val="restart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vMerge w:val="continue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/>
            <w:tcW w:w="3700" w:type="dxa"/>
            <w:vAlign w:val="center"/>
            <w:vMerge w:val="continue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3821" w:type="dxa"/>
            <w:vAlign w:val="center"/>
            <w:vMerge w:val="continue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1862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2716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2392" w:type="dxa"/>
            <w:vAlign w:val="center"/>
            <w:vMerge w:val="continue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center"/>
              <w:rPr>
                <w:sz w:val="20"/>
              </w:rPr>
            </w:pPr>
            <w:r>
              <w:rPr>
                <w:rFonts w:eastAsia="Times New Roman" w:cs="Times New Roman"/>
                <w:b/>
                <w:sz w:val="20"/>
                <w:szCs w:val="24"/>
                <w:lang w:val="ru-RU" w:eastAsia="ru-RU" w:bidi="ar-SA"/>
              </w:rPr>
              <w:t xml:space="preserve">1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gridSpan w:val="2"/>
            <w:tcBorders/>
            <w:tcW w:w="3700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sz w:val="20"/>
                <w:szCs w:val="24"/>
                <w:lang w:val="ru-RU" w:eastAsia="ru-RU" w:bidi="ar-SA"/>
              </w:rPr>
              <w:t xml:space="preserve">2</w:t>
            </w:r>
            <w:r>
              <w:rPr>
                <w:b/>
                <w:sz w:val="20"/>
                <w:szCs w:val="24"/>
              </w:rPr>
            </w:r>
            <w:r>
              <w:rPr>
                <w:b/>
                <w:sz w:val="20"/>
                <w:szCs w:val="24"/>
              </w:rPr>
            </w:r>
          </w:p>
        </w:tc>
        <w:tc>
          <w:tcPr>
            <w:tcBorders/>
            <w:tcW w:w="3821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sz w:val="20"/>
                <w:szCs w:val="24"/>
                <w:lang w:val="ru-RU" w:eastAsia="ru-RU" w:bidi="ar-SA"/>
              </w:rPr>
              <w:t xml:space="preserve">3</w:t>
            </w:r>
            <w:r>
              <w:rPr>
                <w:b/>
                <w:sz w:val="20"/>
                <w:szCs w:val="24"/>
              </w:rPr>
            </w:r>
            <w:r>
              <w:rPr>
                <w:b/>
                <w:sz w:val="20"/>
                <w:szCs w:val="24"/>
              </w:rPr>
            </w:r>
          </w:p>
        </w:tc>
        <w:tc>
          <w:tcPr>
            <w:tcBorders/>
            <w:tcW w:w="1862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sz w:val="20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0"/>
                <w:szCs w:val="24"/>
              </w:rPr>
            </w:r>
            <w:r>
              <w:rPr>
                <w:b/>
                <w:sz w:val="20"/>
                <w:szCs w:val="24"/>
              </w:rPr>
            </w:r>
          </w:p>
        </w:tc>
        <w:tc>
          <w:tcPr>
            <w:tcBorders/>
            <w:tcW w:w="2716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sz w:val="20"/>
                <w:szCs w:val="24"/>
                <w:lang w:val="ru-RU" w:eastAsia="ru-RU" w:bidi="ar-SA"/>
              </w:rPr>
              <w:t xml:space="preserve">5</w:t>
            </w:r>
            <w:r>
              <w:rPr>
                <w:b/>
                <w:sz w:val="20"/>
                <w:szCs w:val="24"/>
              </w:rPr>
            </w:r>
            <w:r>
              <w:rPr>
                <w:b/>
                <w:sz w:val="20"/>
                <w:szCs w:val="24"/>
              </w:rPr>
            </w:r>
          </w:p>
        </w:tc>
        <w:tc>
          <w:tcPr>
            <w:tcBorders/>
            <w:tcW w:w="2392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sz w:val="20"/>
                <w:szCs w:val="24"/>
                <w:lang w:val="ru-RU" w:eastAsia="ru-RU" w:bidi="ar-SA"/>
              </w:rPr>
              <w:t xml:space="preserve">6</w:t>
            </w:r>
            <w:r>
              <w:rPr>
                <w:b/>
                <w:sz w:val="20"/>
                <w:szCs w:val="24"/>
              </w:rPr>
            </w:r>
            <w:r>
              <w:rPr>
                <w:b/>
                <w:sz w:val="20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0"/>
                <w:numId w:val="5"/>
              </w:numPr>
              <w:pBdr/>
              <w:spacing w:after="60" w:before="60"/>
              <w:ind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1"/>
                <w:numId w:val="5"/>
              </w:numPr>
              <w:pBdr/>
              <w:spacing w:after="60" w:before="60"/>
              <w:ind w:firstLine="142" w:left="-117"/>
              <w:contextualSpacing w:val="true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Общие требования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2"/>
                <w:numId w:val="5"/>
              </w:numPr>
              <w:pBdr/>
              <w:spacing w:after="60" w:before="60"/>
              <w:ind w:hanging="1199" w:left="1224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34"/>
                <w:tab w:val="clear" w:leader="none" w:pos="708"/>
                <w:tab w:val="left" w:leader="none" w:pos="884"/>
              </w:tabs>
              <w:spacing w:after="0" w:before="0"/>
              <w:ind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Полная детализация выполняемых работ указана в перечне объемов работ (Таблица №2), являющейся неотъемлемой частью настоящих технических требований.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</w:p>
        </w:tc>
        <w:tc>
          <w:tcPr>
            <w:shd w:val="clear" w:color="auto" w:fill="auto"/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</w:p>
        </w:tc>
        <w:tc>
          <w:tcPr>
            <w:shd w:val="clear" w:color="auto" w:fill="auto"/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shd w:val="clear" w:color="auto" w:fill="auto"/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2"/>
                <w:numId w:val="5"/>
              </w:numPr>
              <w:pBdr/>
              <w:spacing w:after="60" w:before="60"/>
              <w:ind w:hanging="1199" w:left="1224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 w:line="100" w:lineRule="atLeast"/>
              <w:ind/>
              <w:jc w:val="both"/>
              <w:rPr>
                <w:rFonts w:eastAsia="Lucida Sans Unicode"/>
                <w:sz w:val="24"/>
                <w:lang w:eastAsia="hi-IN" w:bidi="hi-IN"/>
              </w:rPr>
            </w:pPr>
            <w:r>
              <w:rPr>
                <w:rFonts w:eastAsia="Lucida Sans Unicode" w:cs="Times New Roman"/>
                <w:sz w:val="24"/>
                <w:lang w:val="ru-RU" w:eastAsia="hi-IN" w:bidi="hi-IN"/>
              </w:rPr>
              <w:t xml:space="preserve">Результат работ должен соответствовать:</w:t>
            </w:r>
            <w:r>
              <w:rPr>
                <w:rFonts w:eastAsia="Lucida Sans Unicode"/>
                <w:sz w:val="24"/>
                <w:lang w:eastAsia="hi-IN" w:bidi="hi-IN"/>
              </w:rPr>
            </w:r>
            <w:r>
              <w:rPr>
                <w:rFonts w:eastAsia="Lucida Sans Unicode"/>
                <w:sz w:val="24"/>
                <w:lang w:eastAsia="hi-IN" w:bidi="hi-IN"/>
              </w:rPr>
            </w:r>
          </w:p>
          <w:p>
            <w:pPr>
              <w:pStyle w:val="995"/>
              <w:widowControl w:val="false"/>
              <w:pBdr/>
              <w:tabs>
                <w:tab w:val="left" w:leader="none" w:pos="459"/>
                <w:tab w:val="clear" w:leader="none" w:pos="708"/>
              </w:tabs>
              <w:spacing w:after="0" w:before="0"/>
              <w:ind/>
              <w:jc w:val="both"/>
              <w:rPr>
                <w:rFonts w:eastAsia="Lucida Sans Unicode"/>
                <w:sz w:val="24"/>
                <w:lang w:eastAsia="hi-IN" w:bidi="hi-IN"/>
              </w:rPr>
            </w:pPr>
            <w:r>
              <w:rPr>
                <w:rFonts w:eastAsia="Lucida Sans Unicode" w:cs="Times New Roman"/>
                <w:sz w:val="24"/>
                <w:lang w:val="ru-RU" w:eastAsia="hi-IN" w:bidi="hi-IN"/>
              </w:rPr>
              <w:t xml:space="preserve">- Настоящим техническим требованиям,</w:t>
            </w:r>
            <w:r>
              <w:rPr>
                <w:rFonts w:eastAsia="Times New Roman" w:cs="Times New Roman"/>
                <w:sz w:val="24"/>
                <w:lang w:val="ru-RU" w:eastAsia="ru-RU" w:bidi="ar-SA"/>
              </w:rPr>
              <w:t xml:space="preserve"> перечню и</w:t>
            </w:r>
            <w:r>
              <w:rPr>
                <w:rFonts w:eastAsia="Lucida Sans Unicode" w:cs="Times New Roman"/>
                <w:sz w:val="24"/>
                <w:lang w:val="ru-RU" w:eastAsia="hi-IN" w:bidi="hi-IN"/>
              </w:rPr>
              <w:t xml:space="preserve"> объемам работ, являющейся неотъемлемой частью настоящих технических требований (Таблица №2), рабочей документации и условиям договора;</w:t>
            </w:r>
            <w:r>
              <w:rPr>
                <w:rFonts w:eastAsia="Lucida Sans Unicode"/>
                <w:sz w:val="24"/>
                <w:lang w:eastAsia="hi-IN" w:bidi="hi-IN"/>
              </w:rPr>
            </w:r>
            <w:r>
              <w:rPr>
                <w:rFonts w:eastAsia="Lucida Sans Unicode"/>
                <w:sz w:val="24"/>
                <w:lang w:eastAsia="hi-IN" w:bidi="hi-IN"/>
              </w:rPr>
            </w:r>
          </w:p>
          <w:p>
            <w:pPr>
              <w:pStyle w:val="995"/>
              <w:widowControl w:val="false"/>
              <w:pBdr/>
              <w:tabs>
                <w:tab w:val="left" w:leader="none" w:pos="427"/>
                <w:tab w:val="clear" w:leader="none" w:pos="708"/>
              </w:tabs>
              <w:spacing w:after="0" w:before="0"/>
              <w:ind/>
              <w:jc w:val="both"/>
              <w:rPr>
                <w:rFonts w:eastAsia="Lucida Sans Unicode"/>
                <w:sz w:val="24"/>
                <w:lang w:eastAsia="hi-IN" w:bidi="hi-IN"/>
              </w:rPr>
            </w:pPr>
            <w:r>
              <w:rPr>
                <w:rFonts w:eastAsia="Lucida Sans Unicode" w:cs="Times New Roman"/>
                <w:sz w:val="24"/>
                <w:lang w:val="ru-RU" w:eastAsia="hi-IN" w:bidi="hi-IN"/>
              </w:rPr>
              <w:t xml:space="preserve">- Требованиям, предъявляемым к такому виду работ действующей нормативно-технической документацией, законодательством РФ и подзаконными актами.</w:t>
            </w:r>
            <w:r>
              <w:rPr>
                <w:rFonts w:eastAsia="Lucida Sans Unicode"/>
                <w:sz w:val="24"/>
                <w:lang w:eastAsia="hi-IN" w:bidi="hi-IN"/>
              </w:rPr>
            </w:r>
            <w:r>
              <w:rPr>
                <w:rFonts w:eastAsia="Lucida Sans Unicode"/>
                <w:sz w:val="24"/>
                <w:lang w:eastAsia="hi-IN" w:bidi="hi-IN"/>
              </w:rPr>
            </w:r>
          </w:p>
        </w:tc>
        <w:tc>
          <w:tcPr>
            <w:shd w:val="clear" w:color="auto" w:fill="auto"/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</w:p>
        </w:tc>
        <w:tc>
          <w:tcPr>
            <w:shd w:val="clear" w:color="auto" w:fill="auto"/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shd w:val="clear" w:color="auto" w:fill="auto"/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1.1.3</w:t>
            </w:r>
            <w:r>
              <w:rPr>
                <w:rFonts w:eastAsia="Times New Roman" w:cs="Times New Roman"/>
                <w:lang w:val="ru-RU" w:eastAsia="ru-RU" w:bidi="ar-SA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gridSpan w:val="3"/>
            <w:shd w:val="clear" w:color="auto" w:fill="auto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 w:line="100" w:lineRule="atLeast"/>
              <w:ind/>
              <w:jc w:val="both"/>
              <w:rPr>
                <w:rFonts w:eastAsia="Lucida Sans Unicode"/>
                <w:sz w:val="24"/>
                <w:lang w:eastAsia="hi-IN" w:bidi="hi-IN"/>
              </w:rPr>
            </w:pPr>
            <w:r>
              <w:rPr>
                <w:rFonts w:eastAsia="Lucida Sans Unicode" w:cs="Times New Roman"/>
                <w:sz w:val="24"/>
                <w:lang w:val="ru-RU" w:eastAsia="hi-IN" w:bidi="hi-IN"/>
              </w:rPr>
              <w:t xml:space="preserve">Качество выполненных Подрядчиком работ должно соответствовать требованиям, предъявляемым к работам соответствующего рода, если иное не предусмотрено законом, иными правовыми актами или договором подряда.</w:t>
            </w:r>
            <w:r>
              <w:rPr>
                <w:rFonts w:eastAsia="Lucida Sans Unicode"/>
                <w:sz w:val="24"/>
                <w:lang w:eastAsia="hi-IN" w:bidi="hi-IN"/>
              </w:rPr>
            </w:r>
            <w:r>
              <w:rPr>
                <w:rFonts w:eastAsia="Lucida Sans Unicode"/>
                <w:sz w:val="24"/>
                <w:lang w:eastAsia="hi-IN" w:bidi="hi-IN"/>
              </w:rPr>
            </w:r>
          </w:p>
        </w:tc>
        <w:tc>
          <w:tcPr>
            <w:shd w:val="clear" w:color="auto" w:fill="auto"/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</w:p>
        </w:tc>
        <w:tc>
          <w:tcPr>
            <w:shd w:val="clear" w:color="auto" w:fill="auto"/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shd w:val="clear" w:color="auto" w:fill="auto"/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1.1.4.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 w:line="100" w:lineRule="atLeast"/>
              <w:ind/>
              <w:jc w:val="both"/>
              <w:rPr>
                <w:rFonts w:eastAsia="Lucida Sans Unicode"/>
                <w:sz w:val="24"/>
                <w:lang w:eastAsia="hi-IN" w:bidi="hi-IN"/>
              </w:rPr>
            </w:pPr>
            <w:r>
              <w:rPr>
                <w:rFonts w:eastAsia="Lucida Sans Unicode" w:cs="Times New Roman"/>
                <w:sz w:val="24"/>
                <w:lang w:val="ru-RU" w:eastAsia="hi-IN" w:bidi="hi-IN"/>
              </w:rPr>
              <w:t xml:space="preserve">На момент проведения работ Подрядчик обязан обеспечить постоянное присутствие на объекте лица, осуществляющего контроль над выполнением работ и ответственного за персонал Подрядчика, и технику безопасности при проведении работ.</w:t>
            </w:r>
            <w:r>
              <w:rPr>
                <w:rFonts w:eastAsia="Lucida Sans Unicode"/>
                <w:sz w:val="24"/>
                <w:lang w:eastAsia="hi-IN" w:bidi="hi-IN"/>
              </w:rPr>
            </w:r>
            <w:r>
              <w:rPr>
                <w:rFonts w:eastAsia="Lucida Sans Unicode"/>
                <w:sz w:val="24"/>
                <w:lang w:eastAsia="hi-IN" w:bidi="hi-IN"/>
              </w:rPr>
            </w:r>
          </w:p>
        </w:tc>
        <w:tc>
          <w:tcPr>
            <w:shd w:val="clear" w:color="auto" w:fill="auto"/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</w:p>
        </w:tc>
        <w:tc>
          <w:tcPr>
            <w:shd w:val="clear" w:color="auto" w:fill="auto"/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shd w:val="clear" w:color="auto" w:fill="auto"/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1.1.5.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gridSpan w:val="3"/>
            <w:shd w:val="clear" w:color="auto" w:fill="auto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Lucida Sans Unicode" w:cs="Times New Roman"/>
                <w:sz w:val="24"/>
                <w:lang w:val="ru-RU" w:eastAsia="hi-IN" w:bidi="hi-IN"/>
              </w:rPr>
              <w:t xml:space="preserve">Подрядчик обязан безвозмездно исправить по требованию Заказчика все выявленные недостатки ухудшившее качество работы в согласованные сроки.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</w:p>
        </w:tc>
        <w:tc>
          <w:tcPr>
            <w:shd w:val="clear" w:color="auto" w:fill="auto"/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shd w:val="clear" w:color="auto" w:fill="auto"/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1"/>
                <w:numId w:val="5"/>
              </w:numPr>
              <w:pBdr/>
              <w:spacing w:after="60" w:before="60"/>
              <w:ind w:firstLine="142" w:left="-117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60"/>
              <w:ind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организации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2"/>
                <w:numId w:val="5"/>
              </w:numPr>
              <w:pBdr/>
              <w:spacing w:after="60" w:before="60"/>
              <w:ind w:hanging="1199" w:left="1224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 w:cs="Times New Roman"/>
                <w:sz w:val="24"/>
                <w:szCs w:val="24"/>
                <w:lang w:val="ru-RU" w:eastAsia="ru-RU" w:bidi="ar-SA"/>
              </w:rPr>
              <w:t xml:space="preserve">Последовательность и сроки выполнения работ определяются линейным графиком выполнения работ и проектом производства работ (ППР), который разрабатывается Подрядчиком и согласовывается Заказчиком.</w:t>
            </w:r>
            <w:r>
              <w:rPr>
                <w:rFonts w:eastAsia="Arial Unicode MS"/>
                <w:sz w:val="24"/>
                <w:szCs w:val="24"/>
              </w:rPr>
            </w:r>
            <w:r>
              <w:rPr>
                <w:rFonts w:eastAsia="Arial Unicode MS"/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Для фиксации выполнения скрытых работ Подрядчик готовит акты скрытых работ, приглашает представителя Заказчика для предъявления таких работ и подписания актов до момента выполнения последующих работ.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Работы выполняются в строгом соответствии с: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- условиями договора подряда, перечню и объемам выполняемых работ (Таблица №2), рабочей документации, являющихся неотъемлемой частью настоящих технических требований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2"/>
                <w:numId w:val="5"/>
              </w:numPr>
              <w:pBdr/>
              <w:spacing w:after="60" w:before="60"/>
              <w:ind w:hanging="1199" w:left="1224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 w:cs="Times New Roman"/>
                <w:sz w:val="24"/>
                <w:szCs w:val="24"/>
                <w:lang w:val="ru-RU" w:eastAsia="ru-RU" w:bidi="ar-SA"/>
              </w:rPr>
              <w:t xml:space="preserve">Работы должны быть организованы в соответствии с «Правилами организации технического обслуживания и ремонта оборудования, зданий и сооружений электростанций и сетей» СО 34.04.181-2003, Регламентом «Допуска подрядных организаций и командирован</w:t>
            </w:r>
            <w:r>
              <w:rPr>
                <w:rFonts w:eastAsia="Arial Unicode MS" w:cs="Times New Roman"/>
                <w:sz w:val="24"/>
                <w:szCs w:val="24"/>
                <w:lang w:val="ru-RU" w:eastAsia="ru-RU" w:bidi="ar-SA"/>
              </w:rPr>
              <w:t xml:space="preserve">ного персонала на объекты АО «Сахаэнерго» ИСМ РГ-00-017.03-23 (Приложение №1 к настоящим Техническим требованиям) и другими действующими нормативными документами отрасли. Подрядчик должен разработать, согласовать с Заказчиком и выполнить комплекс организац</w:t>
            </w:r>
            <w:r>
              <w:rPr>
                <w:rFonts w:eastAsia="Arial Unicode MS" w:cs="Times New Roman"/>
                <w:sz w:val="24"/>
                <w:szCs w:val="24"/>
                <w:lang w:val="ru-RU" w:eastAsia="ru-RU" w:bidi="ar-SA"/>
              </w:rPr>
              <w:t xml:space="preserve">ионно-технических подготовительных мероприятий в соответствии с п. 2.7 СО 34.04.181-2003, в том числе предоставить Приказ по предприятию о назначении руководителя ремонта и отчитаться по выполнению подготовительных мероприятий за 10 дней до начала ремонта.</w:t>
            </w:r>
            <w:r>
              <w:rPr>
                <w:rFonts w:eastAsia="Arial Unicode MS"/>
                <w:sz w:val="24"/>
                <w:szCs w:val="24"/>
              </w:rPr>
            </w:r>
            <w:r>
              <w:rPr>
                <w:rFonts w:eastAsia="Arial Unicode MS"/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Вся полнота ответственности при выполнении работ на объекте з</w:t>
            </w: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а соблюдением норм и правил по охране труда и пожарной безопасности возлагается на Подрядчика. Организация и выполнение работ должны осуществляться при соблюдении законодательства Российской Федерации об охране труда, а также иных нормативных правовых акто</w:t>
            </w: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в, строительных норм и правил, сводов правил по проектированию и строительству, межотраслевых и отраслевых правил и типовых инструкций по охране труда, правил и инструкций по технике безопасности, утвержденных в установленном порядке, государственных станд</w:t>
            </w: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артов системы стандартов безопасности труда, правил безопасности, правил устройства и безопасной эксплуатации, инструкций по безопасности, государственных санитарно-эпидемиологических правил и нормативов, гигиенических нормативов, санитарных правил и норм.</w:t>
            </w:r>
            <w:r>
              <w:rPr>
                <w:rFonts w:eastAsia="Arial Unicode MS"/>
                <w:sz w:val="24"/>
                <w:szCs w:val="24"/>
              </w:rPr>
            </w:r>
            <w:r>
              <w:rPr>
                <w:rFonts w:eastAsia="Arial Unicode MS"/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Охрана труда рабочих должна обеспечиваться выдачей необходимых средств индивидуальной защиты (каски, специал</w:t>
            </w: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ьная одежда, обувь и др.), выполнением мероприятий по коллективной защите работающих (ограждения, освещение, защитные и предохранительные устройства), при необходимости наличием санитарно-бытовых помещений и устройств в соответствии с действующими нормами.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Организация работ, должна обеспечивать безопасность труда работающих на всех этапах выполнения строительно-монтажных работ. Рабочие места должны быть ограждены, а в вечернее время при необходимости должны быть освещены по установленным нормам.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1.2.3.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lang w:val="ru-RU" w:eastAsia="ru-RU" w:bidi="ar-SA"/>
              </w:rPr>
              <w:t xml:space="preserve">Подрядчик обеспечивает содержание и уборку строительной площадки и прилегающей к ней территории.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1.2.4.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both"/>
              <w:rPr>
                <w:sz w:val="24"/>
              </w:rPr>
            </w:pP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Подрядчик должен быть обеспечен необходимыми инструментами, механизмами и средствами индивидуальной защиты согласно характеру работ указанных в Таблице №2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1.2.5.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6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Подрядчик обеспечивает опре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деление и согласование с филиалом заказчика мест подключения временных коммуникаций (технические условия на подключения выдаются после получения от подрядчика официального запроса с указанием потребных ресурсов в количественных и качественных показателях);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1.2.6.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Подрядчик должен обеспечить подготовку объекта к сдаче-приемке: демонтажу временных сетей, бытовых и подсобных помещений, разборке ограждений, вывозу с территории оборудования, инструмента, строительного мусора, уборке объекта;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1"/>
                <w:numId w:val="5"/>
              </w:numPr>
              <w:pBdr/>
              <w:spacing w:after="60" w:before="60"/>
              <w:ind w:firstLine="142" w:left="-117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60"/>
              <w:ind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применяемым при выполнении работ оборудованию, материалам, технологиям, программно-аппаратным средствам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2"/>
                <w:numId w:val="5"/>
              </w:numPr>
              <w:pBdr/>
              <w:spacing w:after="60" w:before="60"/>
              <w:ind w:hanging="1199" w:left="1224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 w:line="100" w:lineRule="atLeast"/>
              <w:ind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При выполнении работ необходимо применять материалы российского и/или зарубежного производства, сертифицированных для применения на территории РФ. Все применяемые материалы должны быть новыми, соответствовать ГОСТ и другим нормативным документам.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2"/>
                <w:numId w:val="5"/>
              </w:numPr>
              <w:pBdr/>
              <w:spacing w:after="60" w:before="60"/>
              <w:ind w:hanging="1199" w:left="1224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 w:line="100" w:lineRule="atLeast"/>
              <w:ind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Все поставляемые и/или применяемые для проведения рабо</w:t>
            </w: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т материалы должны иметь соответствующие сертификаты качества, пожарные и санитарно-эпидемиологические сертификаты, технические паспорта и другие документы, удостоверяющие их качество. Копии сертификатов и т. п. должны быть предоставлены Заказчику до момен</w:t>
            </w: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та начала производства работ, выполняемых с использованием соответствующих материалов и оборудования. Подрядчик несет ответственность за соответствие используемых материалов государственным стандартам, техническим условиям и иным предъявляемым требованиям.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1.3.3.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Запрещается применение бывших в использовании и употреблении материалов, в том числе восстановленных и отремонтированных.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1.3.4.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0"/>
              <w:ind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val="ru-RU" w:eastAsia="ru-RU" w:bidi="ar-SA"/>
              </w:rPr>
              <w:t xml:space="preserve">Подрядчик должен обеспечить входной контроль поступающих материалов и запасных частей с заполнением в журнале входного контроля согласно 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СП 48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t xml:space="preserve">.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13330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t xml:space="preserve">.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2019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br/>
              <w:t xml:space="preserve">"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СНиП 12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01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2004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t xml:space="preserve">. Организация строительства"</w:t>
            </w:r>
            <w:r>
              <w:rPr>
                <w:rFonts w:eastAsia="Times New Roman" w:cs="Times New Roman"/>
                <w:iCs/>
                <w:sz w:val="24"/>
                <w:szCs w:val="24"/>
                <w:lang w:val="ru-RU" w:eastAsia="ru-RU" w:bidi="ar-SA"/>
              </w:rPr>
              <w:t xml:space="preserve">, включающий в себя проверку: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 w:after="60" w:before="0"/>
              <w:ind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val="ru-RU" w:eastAsia="ru-RU" w:bidi="ar-SA"/>
              </w:rPr>
              <w:t xml:space="preserve">- наличия соответствующих сертификатов соответствия на материалы;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 w:after="60" w:before="0"/>
              <w:ind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val="ru-RU" w:eastAsia="ru-RU" w:bidi="ar-SA"/>
              </w:rPr>
              <w:t xml:space="preserve">- 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 w:after="60" w:before="0"/>
              <w:ind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val="ru-RU" w:eastAsia="ru-RU" w:bidi="ar-SA"/>
              </w:rPr>
              <w:t xml:space="preserve">- наличия маркировки, сохранности упаковки, наличия и сохранности защитных и окрасочных покрытий и т.п.;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 w:after="60" w:before="0"/>
              <w:ind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val="ru-RU" w:eastAsia="ru-RU" w:bidi="ar-SA"/>
              </w:rPr>
              <w:t xml:space="preserve">- комплектности поставляемых материалов;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 w:after="60" w:before="0"/>
              <w:ind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val="ru-RU" w:eastAsia="ru-RU" w:bidi="ar-SA"/>
              </w:rPr>
              <w:t xml:space="preserve">- и т.п.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1.3.5.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Перечень давальческих материалов, предоставляемые Заказчиком для выполнения работ указаны в соответствии с Приложением №4 к ТТ (Приложение №13 к Договору)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1"/>
                <w:numId w:val="5"/>
              </w:numPr>
              <w:pBdr/>
              <w:spacing w:after="60" w:before="60"/>
              <w:ind w:firstLine="142" w:left="-117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контролю качества работ и материалов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2"/>
                <w:numId w:val="5"/>
              </w:numPr>
              <w:pBdr/>
              <w:spacing w:after="60" w:before="60"/>
              <w:ind w:hanging="1199" w:left="1224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Работы должны выполняться в соответствии с рабочей и нормативной документацией, и Подрядчик должен руководствоваться соответствующими документами по характеру работ.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2"/>
                <w:numId w:val="5"/>
              </w:numPr>
              <w:pBdr/>
              <w:spacing w:after="60" w:before="60"/>
              <w:ind w:hanging="1199" w:left="1224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0"/>
              <w:ind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Подрядчик обязан производить строительный контроль в ходе производс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тва работ, в том числе: контроль над соответствием применяемых строительных материалов и конструкций требованиям технических регламентов и рабочей документации, соблюдением норм и правил складирования и хранения применяемой продукции, соблюдением последова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тельности и состава технологических операций при осуществлении работ. Подрядчик гарантирует высокое качество и надежную последующую эксплуатацию объекта в соответствии с положениями технических регламентов, действующих на территории Российской Федерации и </w:t>
            </w: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соответствовать требованиям, предъявляемым к работам соответствующего рода.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1"/>
                <w:numId w:val="5"/>
              </w:numPr>
              <w:pBdr/>
              <w:spacing w:after="60" w:before="60"/>
              <w:ind w:firstLine="142" w:left="-117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персоналу подрядчика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2"/>
                <w:numId w:val="5"/>
              </w:numPr>
              <w:pBdr/>
              <w:spacing w:after="60" w:before="60"/>
              <w:ind w:hanging="1199" w:left="1224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tcBorders/>
            <w:tcW w:w="3700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Организационно-технические мероприятия по допуску персонала исполнителя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38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Допуск персонала подрядчика для выполнения работ должен осуществляться в соответствии с «Регламентом допуска подрядных организаций и командированного персонала на объекты АО «Сахаэнерго» ИСМ РГ-00-017.03-23 (Приложение №1 к Техническим требованиям).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Подготовку рабочих мест и первичный допуск к работам выполняет персонал Заказчика.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1"/>
                <w:numId w:val="5"/>
              </w:numPr>
              <w:pBdr/>
              <w:spacing w:after="60" w:before="60"/>
              <w:ind w:firstLine="142" w:left="-117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безопасности работ и охране труда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2"/>
                <w:numId w:val="5"/>
              </w:numPr>
              <w:pBdr/>
              <w:spacing w:after="60" w:before="60"/>
              <w:ind w:hanging="1199" w:left="1224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</w:rPr>
            </w:pPr>
            <w:r>
              <w:rPr>
                <w:rFonts w:eastAsia="Times New Roman" w:cs="Times New Roman"/>
                <w:sz w:val="24"/>
                <w:lang w:val="ru-RU" w:eastAsia="ru-RU" w:bidi="ar-SA"/>
              </w:rPr>
              <w:t xml:space="preserve">Организация и выполнение ремонтных работ должна проводится в соответствии с требованиями: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95"/>
              <w:widowControl w:val="false"/>
              <w:numPr>
                <w:ilvl w:val="0"/>
                <w:numId w:val="8"/>
              </w:numPr>
              <w:pBdr/>
              <w:tabs>
                <w:tab w:val="left" w:leader="none" w:pos="302"/>
                <w:tab w:val="clear" w:leader="none" w:pos="708"/>
              </w:tabs>
              <w:spacing w:after="0" w:before="0"/>
              <w:ind w:firstLine="0" w:left="0"/>
              <w:jc w:val="both"/>
              <w:rPr>
                <w:sz w:val="24"/>
                <w:szCs w:val="24"/>
              </w:rPr>
            </w:pP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Строительные</w:t>
            </w:r>
            <w:r>
              <w:rPr>
                <w:rFonts w:eastAsia="Times New Roman" w:cs="Times New Roman"/>
                <w:color w:val="22272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 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нормы</w:t>
            </w:r>
            <w:r>
              <w:rPr>
                <w:rFonts w:eastAsia="Times New Roman" w:cs="Times New Roman"/>
                <w:color w:val="22272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 и 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правила</w:t>
            </w:r>
            <w:r>
              <w:rPr>
                <w:rFonts w:eastAsia="Times New Roman" w:cs="Times New Roman"/>
                <w:color w:val="22272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 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СНиП</w:t>
            </w:r>
            <w:r>
              <w:rPr>
                <w:rFonts w:eastAsia="Times New Roman" w:cs="Times New Roman"/>
                <w:color w:val="22272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 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12</w:t>
            </w:r>
            <w:r>
              <w:rPr>
                <w:rFonts w:eastAsia="Times New Roman" w:cs="Times New Roman"/>
                <w:color w:val="22272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-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03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2001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br/>
            </w:r>
            <w:r>
              <w:rPr>
                <w:rFonts w:eastAsia="Times New Roman" w:cs="Times New Roman"/>
                <w:color w:val="22272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"Безопасность труда в строительстве. Часть 1. Общие требования"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widowControl w:val="false"/>
              <w:numPr>
                <w:ilvl w:val="0"/>
                <w:numId w:val="8"/>
              </w:numPr>
              <w:pBdr/>
              <w:tabs>
                <w:tab w:val="left" w:leader="none" w:pos="302"/>
                <w:tab w:val="clear" w:leader="none" w:pos="708"/>
              </w:tabs>
              <w:spacing w:after="0" w:before="0"/>
              <w:ind w:firstLine="0" w:left="0"/>
              <w:jc w:val="both"/>
              <w:rPr>
                <w:sz w:val="24"/>
                <w:szCs w:val="24"/>
              </w:rPr>
            </w:pP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Строительные</w:t>
            </w:r>
            <w:r>
              <w:rPr>
                <w:rFonts w:eastAsia="Times New Roman" w:cs="Times New Roman"/>
                <w:color w:val="22272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 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нормы</w:t>
            </w:r>
            <w:r>
              <w:rPr>
                <w:rFonts w:eastAsia="Times New Roman" w:cs="Times New Roman"/>
                <w:color w:val="22272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 и 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правила</w:t>
            </w:r>
            <w:r>
              <w:rPr>
                <w:rFonts w:eastAsia="Times New Roman" w:cs="Times New Roman"/>
                <w:color w:val="22272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 РФ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br/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СНиП</w:t>
            </w:r>
            <w:r>
              <w:rPr>
                <w:rFonts w:eastAsia="Times New Roman" w:cs="Times New Roman"/>
                <w:color w:val="22272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 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12</w:t>
            </w:r>
            <w:r>
              <w:rPr>
                <w:rFonts w:eastAsia="Times New Roman" w:cs="Times New Roman"/>
                <w:color w:val="22272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-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04</w:t>
            </w:r>
            <w:r>
              <w:rPr>
                <w:rFonts w:eastAsia="Times New Roman" w:cs="Times New Roman"/>
                <w:color w:val="22272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-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2002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br/>
            </w:r>
            <w:r>
              <w:rPr>
                <w:rFonts w:eastAsia="Times New Roman" w:cs="Times New Roman"/>
                <w:color w:val="22272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"Безопасность труда в строительстве. Часть 2. Строительное производство"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widowControl w:val="false"/>
              <w:numPr>
                <w:ilvl w:val="0"/>
                <w:numId w:val="8"/>
              </w:numPr>
              <w:pBdr/>
              <w:tabs>
                <w:tab w:val="left" w:leader="none" w:pos="302"/>
                <w:tab w:val="clear" w:leader="none" w:pos="708"/>
              </w:tabs>
              <w:spacing w:after="0" w:before="0"/>
              <w:ind w:right="128" w:firstLine="0" w:left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22272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Инструкция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color w:val="22272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о мерах пожарной безопасности при проведении огневых работ на энергетических предприятиях СО 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153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34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t xml:space="preserve">.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03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t xml:space="preserve">.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305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2003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br/>
            </w:r>
            <w:r>
              <w:rPr>
                <w:rFonts w:eastAsia="Times New Roman" w:cs="Times New Roman"/>
                <w:color w:val="22272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(утв. </w:t>
            </w:r>
            <w:r>
              <w:fldChar w:fldCharType="begin"/>
            </w:r>
            <w:r>
              <w:rPr>
                <w:rStyle w:val="1027"/>
                <w:rFonts w:eastAsia="Times New Roman" w:cs="Times New Roman"/>
                <w:color w:val="3272c0"/>
                <w:sz w:val="24"/>
                <w:szCs w:val="24"/>
                <w:shd w:val="clear" w:color="auto" w:fill="ffffff"/>
                <w:lang w:val="ru-RU" w:eastAsia="ru-RU" w:bidi="ar-SA"/>
              </w:rPr>
              <w:instrText xml:space="preserve"> HYPERLINK "https://internet.garant.ru/" \l "/document/190963/entry/0"</w:instrText>
            </w:r>
            <w:r>
              <w:rPr>
                <w:rStyle w:val="1027"/>
                <w:rFonts w:eastAsia="Times New Roman" w:cs="Times New Roman"/>
                <w:color w:val="3272c0"/>
                <w:sz w:val="24"/>
                <w:szCs w:val="24"/>
                <w:shd w:val="clear" w:color="auto" w:fill="ffffff"/>
                <w:lang w:val="ru-RU" w:eastAsia="ru-RU" w:bidi="ar-SA"/>
              </w:rPr>
              <w:fldChar w:fldCharType="separate"/>
            </w:r>
            <w:r>
              <w:rPr>
                <w:rStyle w:val="1027"/>
                <w:rFonts w:eastAsia="Times New Roman" w:cs="Times New Roman"/>
                <w:color w:val="3272c0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приказом</w:t>
            </w:r>
            <w:r>
              <w:rPr>
                <w:rStyle w:val="1027"/>
                <w:rFonts w:eastAsia="Times New Roman" w:cs="Times New Roman"/>
                <w:color w:val="3272c0"/>
                <w:sz w:val="24"/>
                <w:szCs w:val="24"/>
                <w:shd w:val="clear" w:color="auto" w:fill="ffffff"/>
                <w:lang w:val="ru-RU" w:eastAsia="ru-RU" w:bidi="ar-SA"/>
              </w:rPr>
              <w:fldChar w:fldCharType="end"/>
            </w:r>
            <w:r>
              <w:rPr>
                <w:rFonts w:eastAsia="Times New Roman" w:cs="Times New Roman"/>
                <w:color w:val="22272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 Минэнерго РФ от 30 июня 2003 г. N 263);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widowControl w:val="false"/>
              <w:numPr>
                <w:ilvl w:val="0"/>
                <w:numId w:val="8"/>
              </w:numPr>
              <w:pBdr/>
              <w:tabs>
                <w:tab w:val="left" w:leader="none" w:pos="302"/>
                <w:tab w:val="clear" w:leader="none" w:pos="708"/>
              </w:tabs>
              <w:spacing w:after="0" w:before="0"/>
              <w:ind w:right="128" w:firstLine="0" w:left="0"/>
              <w:jc w:val="both"/>
              <w:rPr>
                <w:sz w:val="24"/>
              </w:rPr>
            </w:pPr>
            <w:r>
              <w:rPr>
                <w:rFonts w:eastAsia="Times New Roman" w:cs="Times New Roman"/>
                <w:sz w:val="24"/>
                <w:lang w:val="ru-RU" w:eastAsia="ru-RU" w:bidi="ar-SA"/>
              </w:rPr>
              <w:t xml:space="preserve">Приказ Министерства труда и социальной защиты РФ от 16 ноября 2020 г. N 782н об утверждении Правил по охране труда при работе на высоте"</w:t>
            </w:r>
            <w:r>
              <w:rPr>
                <w:rFonts w:eastAsia="Arial Unicode MS" w:cs="Times New Roman"/>
                <w:sz w:val="24"/>
                <w:lang w:val="ru-RU" w:eastAsia="ru-RU" w:bidi="ar-SA"/>
              </w:rPr>
              <w:t xml:space="preserve"> 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95"/>
              <w:widowControl w:val="false"/>
              <w:numPr>
                <w:ilvl w:val="0"/>
                <w:numId w:val="8"/>
              </w:numPr>
              <w:pBdr/>
              <w:tabs>
                <w:tab w:val="left" w:leader="none" w:pos="302"/>
                <w:tab w:val="clear" w:leader="none" w:pos="708"/>
              </w:tabs>
              <w:spacing w:after="0" w:before="0"/>
              <w:ind w:right="128" w:firstLine="0" w:left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22272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Правила организации технического обслуживания и ремонта оборудования, зданий и сооружений электростанций и сетей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br/>
            </w:r>
            <w:r>
              <w:rPr>
                <w:rFonts w:eastAsia="Times New Roman" w:cs="Times New Roman"/>
                <w:color w:val="22272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СО 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34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t xml:space="preserve">.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04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t xml:space="preserve">.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181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rStyle w:val="1041"/>
                <w:rFonts w:eastAsia="Times New Roman" w:cs="Times New Roman"/>
                <w:i w:val="0"/>
                <w:iCs w:val="0"/>
                <w:color w:val="22272f"/>
                <w:sz w:val="24"/>
                <w:szCs w:val="24"/>
                <w:lang w:val="ru-RU" w:eastAsia="ru-RU" w:bidi="ar-SA"/>
              </w:rPr>
              <w:t xml:space="preserve">2003</w:t>
            </w:r>
            <w:r>
              <w:rPr>
                <w:rFonts w:eastAsia="Times New Roman" w:cs="Times New Roman"/>
                <w:color w:val="22272f"/>
                <w:sz w:val="24"/>
                <w:szCs w:val="24"/>
                <w:lang w:val="ru-RU" w:eastAsia="ru-RU" w:bidi="ar-SA"/>
              </w:rPr>
              <w:br/>
            </w:r>
            <w:r>
              <w:rPr>
                <w:rFonts w:eastAsia="Times New Roman" w:cs="Times New Roman"/>
                <w:color w:val="22272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(утв. РАО "ЕЭС России" 25 декабря 2003 г.)</w:t>
            </w:r>
            <w:r>
              <w:rPr>
                <w:rFonts w:eastAsia="Arial Unicode MS" w:cs="Times New Roman"/>
                <w:sz w:val="24"/>
                <w:szCs w:val="24"/>
                <w:lang w:val="ru-RU" w:eastAsia="ru-RU" w:bidi="ar-SA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widowControl w:val="false"/>
              <w:numPr>
                <w:ilvl w:val="0"/>
                <w:numId w:val="8"/>
              </w:numPr>
              <w:pBdr/>
              <w:tabs>
                <w:tab w:val="left" w:leader="none" w:pos="302"/>
                <w:tab w:val="clear" w:leader="none" w:pos="708"/>
              </w:tabs>
              <w:spacing w:after="0" w:before="0"/>
              <w:ind w:right="128" w:firstLine="0" w:left="0"/>
              <w:jc w:val="both"/>
              <w:rPr>
                <w:sz w:val="24"/>
              </w:rPr>
            </w:pPr>
            <w:r>
              <w:rPr>
                <w:rFonts w:eastAsia="Times New Roman" w:cs="Times New Roman"/>
                <w:sz w:val="24"/>
                <w:lang w:val="ru-RU" w:eastAsia="ru-RU" w:bidi="ar-SA"/>
              </w:rPr>
              <w:t xml:space="preserve">Приказ Министерства труда и социальной защиты РФ от 15 декабря 2020 г. N 902н "Об утверждении Правил по охране труда при работе в ограниченных и замкнутых пространствах".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95"/>
              <w:widowControl w:val="false"/>
              <w:numPr>
                <w:ilvl w:val="0"/>
                <w:numId w:val="8"/>
              </w:numPr>
              <w:pBdr/>
              <w:tabs>
                <w:tab w:val="left" w:leader="none" w:pos="302"/>
                <w:tab w:val="clear" w:leader="none" w:pos="708"/>
              </w:tabs>
              <w:spacing w:after="0" w:before="0"/>
              <w:ind w:firstLine="0" w:left="0"/>
              <w:jc w:val="both"/>
              <w:rPr>
                <w:rFonts w:eastAsia="Arial Unicode MS"/>
                <w:sz w:val="24"/>
              </w:rPr>
            </w:pPr>
            <w:r>
              <w:rPr>
                <w:rFonts w:eastAsia="Arial Unicode MS" w:cs="Times New Roman"/>
                <w:sz w:val="24"/>
                <w:lang w:val="ru-RU" w:eastAsia="ru-RU" w:bidi="ar-SA"/>
              </w:rPr>
              <w:t xml:space="preserve">Приказ Федеральной службы по экологическому, технологическому и атомному надзору от 15 декабря 2020 г. N 529 "Об утверждении федеральных норм и правил в области промышленной безопасности "Правила промышленной безопасности складов нефти и нефтепродуктов"</w:t>
            </w:r>
            <w:r>
              <w:rPr>
                <w:rFonts w:eastAsia="Arial Unicode MS"/>
                <w:sz w:val="24"/>
              </w:rPr>
            </w:r>
            <w:r>
              <w:rPr>
                <w:rFonts w:eastAsia="Arial Unicode MS"/>
                <w:sz w:val="24"/>
              </w:rPr>
            </w:r>
          </w:p>
          <w:p>
            <w:pPr>
              <w:pStyle w:val="995"/>
              <w:widowControl w:val="false"/>
              <w:numPr>
                <w:ilvl w:val="0"/>
                <w:numId w:val="8"/>
              </w:numPr>
              <w:pBdr/>
              <w:tabs>
                <w:tab w:val="left" w:leader="none" w:pos="302"/>
                <w:tab w:val="clear" w:leader="none" w:pos="708"/>
              </w:tabs>
              <w:spacing w:after="0" w:before="0"/>
              <w:ind w:firstLine="0" w:left="0"/>
              <w:jc w:val="both"/>
              <w:rPr>
                <w:rFonts w:eastAsia="Arial Unicode MS"/>
                <w:sz w:val="24"/>
              </w:rPr>
            </w:pPr>
            <w:r>
              <w:rPr>
                <w:rFonts w:eastAsia="Arial Unicode MS" w:cs="Times New Roman"/>
                <w:sz w:val="24"/>
                <w:lang w:val="ru-RU" w:eastAsia="ru-RU" w:bidi="ar-SA"/>
              </w:rPr>
              <w:t xml:space="preserve">Приказ Федеральной службы по экологическому, технологическому и атомному надзору от 15 декабря 2020 г. N 528 "Об утверждении федеральных норм и правил в области промышленной безопасности "Правила безопасного ведения газоопасных, огневых и ремонтных работ"</w:t>
            </w:r>
            <w:r>
              <w:rPr>
                <w:rFonts w:eastAsia="Arial Unicode MS"/>
                <w:sz w:val="24"/>
              </w:rPr>
            </w:r>
            <w:r>
              <w:rPr>
                <w:rFonts w:eastAsia="Arial Unicode MS"/>
                <w:sz w:val="24"/>
              </w:rPr>
            </w:r>
          </w:p>
          <w:p>
            <w:pPr>
              <w:pStyle w:val="995"/>
              <w:widowControl w:val="false"/>
              <w:numPr>
                <w:ilvl w:val="0"/>
                <w:numId w:val="8"/>
              </w:numPr>
              <w:pBdr/>
              <w:tabs>
                <w:tab w:val="left" w:leader="none" w:pos="302"/>
                <w:tab w:val="clear" w:leader="none" w:pos="708"/>
                <w:tab w:val="left" w:leader="none" w:pos="915"/>
              </w:tabs>
              <w:spacing w:after="0" w:before="0"/>
              <w:ind w:firstLine="0" w:left="0"/>
              <w:jc w:val="both"/>
              <w:rPr>
                <w:rFonts w:eastAsia="Arial Unicode MS"/>
                <w:sz w:val="24"/>
              </w:rPr>
            </w:pPr>
            <w:r>
              <w:rPr>
                <w:rFonts w:eastAsia="Arial Unicode MS" w:cs="Times New Roman"/>
                <w:sz w:val="24"/>
                <w:lang w:val="ru-RU" w:eastAsia="ru-RU" w:bidi="ar-SA"/>
              </w:rPr>
              <w:t xml:space="preserve">Приказ Федеральной службы по экологическому, технологическому и атом</w:t>
            </w:r>
            <w:r>
              <w:rPr>
                <w:rFonts w:eastAsia="Arial Unicode MS" w:cs="Times New Roman"/>
                <w:sz w:val="24"/>
                <w:lang w:val="ru-RU" w:eastAsia="ru-RU" w:bidi="ar-SA"/>
              </w:rPr>
              <w:t xml:space="preserve">ному надзору от 1 декабря 2020 г. N 478 "Об утверждении федеральных норм и правил в области промышленной безопасности "Основные требования к проведению неразрушающего контроля технических устройств, зданий и сооружений на опасных производственных объектах"</w:t>
            </w:r>
            <w:r>
              <w:rPr>
                <w:rFonts w:eastAsia="Arial Unicode MS"/>
                <w:sz w:val="24"/>
              </w:rPr>
            </w:r>
            <w:r>
              <w:rPr>
                <w:rFonts w:eastAsia="Arial Unicode MS"/>
                <w:sz w:val="24"/>
              </w:rPr>
            </w:r>
          </w:p>
          <w:p>
            <w:pPr>
              <w:pStyle w:val="995"/>
              <w:widowControl w:val="false"/>
              <w:numPr>
                <w:ilvl w:val="0"/>
                <w:numId w:val="8"/>
              </w:numPr>
              <w:pBdr/>
              <w:tabs>
                <w:tab w:val="left" w:leader="none" w:pos="302"/>
                <w:tab w:val="clear" w:leader="none" w:pos="708"/>
                <w:tab w:val="left" w:leader="none" w:pos="915"/>
              </w:tabs>
              <w:spacing w:after="0" w:before="0"/>
              <w:ind w:firstLine="34" w:left="0"/>
              <w:jc w:val="both"/>
              <w:rPr>
                <w:rFonts w:eastAsia="Arial Unicode MS"/>
                <w:sz w:val="24"/>
              </w:rPr>
            </w:pPr>
            <w:r>
              <w:rPr>
                <w:rFonts w:eastAsia="Arial Unicode MS" w:cs="Times New Roman"/>
                <w:sz w:val="24"/>
                <w:lang w:val="ru-RU" w:eastAsia="ru-RU" w:bidi="ar-SA"/>
              </w:rPr>
              <w:t xml:space="preserve">Приказ Феде</w:t>
            </w:r>
            <w:r>
              <w:rPr>
                <w:rFonts w:eastAsia="Arial Unicode MS" w:cs="Times New Roman"/>
                <w:sz w:val="24"/>
                <w:lang w:val="ru-RU" w:eastAsia="ru-RU" w:bidi="ar-SA"/>
              </w:rPr>
              <w:t xml:space="preserve">ральной службы по экологическому, технологическому и атомному надзору от 11 декабря 2020 г. N 519 "Об утверждении Федеральных норм и правил в области промышленной безопасности "Требования к производству сварочных работ на опасных производственных объектах"</w:t>
            </w:r>
            <w:r>
              <w:rPr>
                <w:rFonts w:eastAsia="Arial Unicode MS"/>
                <w:sz w:val="24"/>
              </w:rPr>
            </w:r>
            <w:r>
              <w:rPr>
                <w:rFonts w:eastAsia="Arial Unicode MS"/>
                <w:sz w:val="24"/>
              </w:rPr>
            </w:r>
          </w:p>
          <w:p>
            <w:pPr>
              <w:pStyle w:val="995"/>
              <w:widowControl w:val="false"/>
              <w:numPr>
                <w:ilvl w:val="0"/>
                <w:numId w:val="8"/>
              </w:numPr>
              <w:pBdr/>
              <w:tabs>
                <w:tab w:val="left" w:leader="none" w:pos="302"/>
                <w:tab w:val="clear" w:leader="none" w:pos="708"/>
                <w:tab w:val="left" w:leader="none" w:pos="915"/>
              </w:tabs>
              <w:spacing w:after="0" w:before="0"/>
              <w:ind w:firstLine="0" w:left="0"/>
              <w:jc w:val="both"/>
              <w:rPr>
                <w:rFonts w:eastAsia="Arial Unicode MS"/>
                <w:sz w:val="24"/>
              </w:rPr>
            </w:pPr>
            <w:r>
              <w:rPr>
                <w:rFonts w:eastAsia="Arial Unicode MS" w:cs="Times New Roman"/>
                <w:sz w:val="24"/>
                <w:lang w:val="ru-RU" w:eastAsia="ru-RU" w:bidi="ar-SA"/>
              </w:rPr>
              <w:t xml:space="preserve">Постановление Федерального горного и промышленного надзора России от 25 июня 2002 г. N 36 "Об утверждении новой редакции "Технологического регламента проведения аттестации сварщиков и специалистов сварочного производства</w:t>
            </w:r>
            <w:r>
              <w:rPr>
                <w:rFonts w:eastAsia="Arial Unicode MS"/>
                <w:sz w:val="24"/>
              </w:rPr>
            </w:r>
            <w:r>
              <w:rPr>
                <w:rFonts w:eastAsia="Arial Unicode MS"/>
                <w:sz w:val="24"/>
              </w:rPr>
            </w:r>
          </w:p>
          <w:p>
            <w:pPr>
              <w:pStyle w:val="995"/>
              <w:widowControl w:val="false"/>
              <w:numPr>
                <w:ilvl w:val="0"/>
                <w:numId w:val="8"/>
              </w:numPr>
              <w:pBdr/>
              <w:tabs>
                <w:tab w:val="left" w:leader="none" w:pos="302"/>
                <w:tab w:val="clear" w:leader="none" w:pos="708"/>
                <w:tab w:val="left" w:leader="none" w:pos="915"/>
              </w:tabs>
              <w:spacing w:after="0" w:before="0"/>
              <w:ind w:firstLine="0" w:left="0"/>
              <w:jc w:val="both"/>
              <w:rPr>
                <w:rFonts w:eastAsia="Arial Unicode MS"/>
                <w:sz w:val="24"/>
              </w:rPr>
            </w:pPr>
            <w:r>
              <w:rPr>
                <w:rFonts w:eastAsia="Times New Roman" w:cs="Times New Roman"/>
                <w:sz w:val="24"/>
                <w:lang w:val="ru-RU" w:eastAsia="ru-RU" w:bidi="ar-SA"/>
              </w:rPr>
              <w:t xml:space="preserve">Иными нормативными документами по соответствующему характеру работ.</w:t>
            </w:r>
            <w:r>
              <w:rPr>
                <w:rFonts w:eastAsia="Arial Unicode MS"/>
                <w:sz w:val="24"/>
              </w:rPr>
            </w:r>
            <w:r>
              <w:rPr>
                <w:rFonts w:eastAsia="Arial Unicode MS"/>
                <w:sz w:val="24"/>
              </w:rPr>
            </w:r>
          </w:p>
          <w:p>
            <w:pPr>
              <w:pStyle w:val="995"/>
              <w:widowControl w:val="false"/>
              <w:pBdr/>
              <w:spacing w:after="0" w:before="0" w:line="100" w:lineRule="atLeast"/>
              <w:ind w:firstLine="16"/>
              <w:jc w:val="both"/>
              <w:rPr>
                <w:rFonts w:eastAsia="Lucida Sans Unicode"/>
                <w:sz w:val="24"/>
                <w:lang w:eastAsia="hi-IN" w:bidi="hi-IN"/>
              </w:rPr>
            </w:pPr>
            <w:r>
              <w:rPr>
                <w:rFonts w:eastAsia="Times New Roman" w:cs="Times New Roman"/>
                <w:sz w:val="24"/>
                <w:lang w:val="ru-RU" w:eastAsia="ru-RU" w:bidi="ar-SA"/>
              </w:rPr>
              <w:t xml:space="preserve">Подрядчик обязан принимать участие в Днях ТБ, проводимых Заказчиком в период проведения ремонтных работ на объекте.</w:t>
            </w:r>
            <w:r>
              <w:rPr>
                <w:rFonts w:eastAsia="Lucida Sans Unicode"/>
                <w:sz w:val="24"/>
                <w:lang w:eastAsia="hi-IN" w:bidi="hi-IN"/>
              </w:rPr>
            </w:r>
            <w:r>
              <w:rPr>
                <w:rFonts w:eastAsia="Lucida Sans Unicode"/>
                <w:sz w:val="24"/>
                <w:lang w:eastAsia="hi-IN" w:bidi="hi-IN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0"/>
                <w:numId w:val="0"/>
              </w:numPr>
              <w:pBdr/>
              <w:spacing w:after="60" w:before="60"/>
              <w:ind w:firstLine="0" w:left="0"/>
              <w:jc w:val="lef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2"/>
                <w:numId w:val="5"/>
              </w:numPr>
              <w:pBdr/>
              <w:spacing w:after="60" w:before="60"/>
              <w:ind w:hanging="1199" w:left="1224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При выполнении Работ Подрядчику необходимо: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- обеспечить безопасность, собственного персонала, персонала подрядных организаций, находящегося в зоне выполнения работ в период производства работ;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- нести ответственность за сохранность оборудования, механизмов, средств, систем, конструкций, сооружений и транспортных приспособлений Заказчика и подрядных организаций, находящихся в зоне выполнения работ в период производства работ;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- своевременно оповещать представителей Заказчика и технического надзора о проведении освидетельствования скрытых работ и ответственных конструкций.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0"/>
                <w:numId w:val="0"/>
              </w:numPr>
              <w:pBdr/>
              <w:spacing w:after="60" w:before="60"/>
              <w:ind w:firstLine="0" w:left="0"/>
              <w:jc w:val="lef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0"/>
                <w:numId w:val="5"/>
              </w:numPr>
              <w:pBdr/>
              <w:spacing w:after="60" w:before="60"/>
              <w:ind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Требования к результатам работ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1"/>
                <w:numId w:val="5"/>
              </w:numPr>
              <w:pBdr/>
              <w:spacing w:after="60" w:before="60"/>
              <w:ind w:firstLine="142" w:left="-117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Общие требования к результатам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2"/>
                <w:numId w:val="5"/>
              </w:numPr>
              <w:pBdr/>
              <w:spacing w:after="60" w:before="60"/>
              <w:ind w:hanging="1199" w:left="1224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Результат работ должен соответствовать перечню и объемам выполняемых работ (таблица №2) настоящих технических требований и рабочей документации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2"/>
                <w:numId w:val="5"/>
              </w:numPr>
              <w:pBdr/>
              <w:spacing w:after="60" w:before="60"/>
              <w:ind w:hanging="1199" w:left="1224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 w:line="100" w:lineRule="atLeast"/>
              <w:ind w:firstLine="5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Качество выполненных подрядчиком работ должно соответствовать требованиям, предъявляемым к работам соответствующего рода, если иное не предусмотрено законом, иными правовыми актами или договором подряда.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</w:p>
          <w:p>
            <w:pPr>
              <w:pStyle w:val="995"/>
              <w:widowControl w:val="false"/>
              <w:pBdr/>
              <w:spacing w:after="0" w:before="0" w:line="100" w:lineRule="atLeast"/>
              <w:ind w:firstLine="5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На момент проведения работ подрядчик обязан обеспечить постоянное присутствие на объекте лица, осуществляющего контроль над выполнением работ и ответственного за персонал Подрядчика, и технику безопасности при проведении работ.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</w:r>
          </w:p>
          <w:p>
            <w:pPr>
              <w:pStyle w:val="995"/>
              <w:widowControl w:val="false"/>
              <w:pBdr/>
              <w:tabs>
                <w:tab w:val="left" w:leader="none" w:pos="432"/>
                <w:tab w:val="left" w:leader="none" w:pos="459"/>
                <w:tab w:val="clear" w:leader="none" w:pos="708"/>
              </w:tabs>
              <w:spacing w:after="0" w:before="0"/>
              <w:ind/>
              <w:jc w:val="both"/>
              <w:rPr>
                <w:bCs/>
                <w:sz w:val="24"/>
                <w:szCs w:val="24"/>
              </w:rPr>
            </w:pP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Подрядчик обязан безвозмездно исправить по требованию Заказчика все выявленные недостатки ухудшившее качество работы в согласованные сроки.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1"/>
                <w:numId w:val="5"/>
              </w:numPr>
              <w:pBdr/>
              <w:spacing w:after="60" w:before="60"/>
              <w:ind w:firstLine="142" w:left="-117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6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>
              <w:right w:val="none" w:color="000000" w:sz="4" w:space="0"/>
            </w:tcBorders>
            <w:tcMar>
              <w:top w:w="55" w:type="dxa"/>
              <w:bottom w:w="55" w:type="dxa"/>
            </w:tcMar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2"/>
                <w:numId w:val="5"/>
              </w:numPr>
              <w:pBdr/>
              <w:spacing w:after="60" w:before="60"/>
              <w:ind w:hanging="1199" w:left="1224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Mar>
              <w:top w:w="55" w:type="dxa"/>
              <w:bottom w:w="55" w:type="dxa"/>
            </w:tcMar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 w:firstLine="12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Гарантийный срок на выполненные работы: не менее 24 месяцев.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Mar>
              <w:top w:w="55" w:type="dxa"/>
              <w:bottom w:w="55" w:type="dxa"/>
            </w:tcMar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</w:p>
        </w:tc>
        <w:tc>
          <w:tcPr>
            <w:tcBorders>
              <w:right w:val="none" w:color="000000" w:sz="4" w:space="0"/>
            </w:tcBorders>
            <w:tcMar>
              <w:top w:w="55" w:type="dxa"/>
              <w:bottom w:w="55" w:type="dxa"/>
            </w:tcMar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Mar>
              <w:top w:w="55" w:type="dxa"/>
              <w:bottom w:w="55" w:type="dxa"/>
            </w:tcMar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none" w:color="000000" w:sz="4" w:space="0"/>
              <w:right w:val="none" w:color="000000" w:sz="4" w:space="0"/>
            </w:tcBorders>
            <w:tcMar>
              <w:top w:w="55" w:type="dxa"/>
              <w:bottom w:w="55" w:type="dxa"/>
            </w:tcMar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2"/>
                <w:numId w:val="5"/>
              </w:numPr>
              <w:pBdr/>
              <w:spacing w:after="60" w:before="60"/>
              <w:ind w:hanging="1199" w:left="1224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Mar>
              <w:top w:w="55" w:type="dxa"/>
              <w:bottom w:w="55" w:type="dxa"/>
            </w:tcMar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 w:firstLine="12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Заказчик, обнаруживший после прием</w:t>
            </w:r>
            <w:r>
              <w:rPr>
                <w:rFonts w:eastAsia="Times New Roman" w:cs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ки работы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Подрядчика, а Подрядчик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устраняет их за свой счет в согласованные сторонами сроки и компенсирует Заказчику понесенные при этом убытки </w:t>
            </w:r>
            <w:r>
              <w:rPr>
                <w:rFonts w:eastAsia="Times New Roman" w:cs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в разумный срок.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Mar>
              <w:top w:w="55" w:type="dxa"/>
              <w:bottom w:w="55" w:type="dxa"/>
            </w:tcMar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Mar>
              <w:top w:w="55" w:type="dxa"/>
              <w:bottom w:w="55" w:type="dxa"/>
            </w:tcMar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</w:tcBorders>
            <w:tcMar>
              <w:top w:w="55" w:type="dxa"/>
              <w:bottom w:w="55" w:type="dxa"/>
            </w:tcMar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1"/>
                <w:numId w:val="5"/>
              </w:numPr>
              <w:pBdr/>
              <w:spacing w:after="60" w:before="60"/>
              <w:ind w:firstLine="142" w:left="-117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Требования к порядку приемки результатов работ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2"/>
                <w:numId w:val="5"/>
              </w:numPr>
              <w:pBdr/>
              <w:spacing w:after="60" w:before="60"/>
              <w:ind w:hanging="1199" w:left="1224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both"/>
              <w:rPr>
                <w:b/>
                <w:sz w:val="24"/>
                <w:szCs w:val="24"/>
              </w:rPr>
            </w:pPr>
            <w:r>
              <w:rPr>
                <w:rFonts w:eastAsia="Lucida Sans Unicode" w:cs="Times New Roman"/>
                <w:sz w:val="24"/>
                <w:szCs w:val="24"/>
                <w:lang w:val="ru-RU" w:eastAsia="hi-IN" w:bidi="hi-IN"/>
              </w:rPr>
              <w:t xml:space="preserve">Приемка работ осуществляется комиссией назначаемой Заказчиком с участием полномочных представителей Подрядчика, при необходимости с привлечением иных заинтересованных лиц и/или органов надзора.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1"/>
                <w:numId w:val="5"/>
              </w:numPr>
              <w:pBdr/>
              <w:spacing w:after="60" w:before="60"/>
              <w:ind w:firstLine="142" w:left="-117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оформлению документации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2"/>
                <w:numId w:val="5"/>
              </w:numPr>
              <w:pBdr/>
              <w:spacing w:after="60" w:before="60"/>
              <w:ind w:hanging="1199" w:left="1224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 w:line="100" w:lineRule="atLeast"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Lucida Sans Unicode" w:cs="Times New Roman"/>
                <w:sz w:val="24"/>
                <w:szCs w:val="24"/>
                <w:shd w:val="clear" w:color="auto" w:fill="auto"/>
                <w:lang w:val="ru-RU" w:eastAsia="hi-IN" w:bidi="hi-IN"/>
              </w:rPr>
              <w:t xml:space="preserve">В целях приемки работ Подрядчик не менее чем за семь рабочих дней до даты приемки, направляет Заказчику письменное извещение об окончании работ и готовности к сдаче результатов работ. При этом совместно с извещением направляет (предоставляет) Заказчику: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995"/>
              <w:widowControl w:val="false"/>
              <w:pBdr/>
              <w:tabs>
                <w:tab w:val="left" w:leader="none" w:pos="50"/>
                <w:tab w:val="clear" w:leader="none" w:pos="708"/>
              </w:tabs>
              <w:spacing w:after="0" w:before="0"/>
              <w:ind w:firstLine="0" w:left="50"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Lucida Sans Unicode" w:cs="Times New Roman"/>
                <w:sz w:val="24"/>
                <w:szCs w:val="24"/>
                <w:shd w:val="clear" w:color="auto" w:fill="auto"/>
                <w:lang w:val="ru-RU" w:eastAsia="hi-IN" w:bidi="hi-IN"/>
              </w:rPr>
              <w:t xml:space="preserve">1. Акты приемки выполненных работ по форме КС-2;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995"/>
              <w:widowControl w:val="false"/>
              <w:pBdr/>
              <w:tabs>
                <w:tab w:val="left" w:leader="none" w:pos="175"/>
                <w:tab w:val="clear" w:leader="none" w:pos="708"/>
              </w:tabs>
              <w:spacing w:after="0" w:before="0"/>
              <w:ind w:firstLine="0" w:left="50"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Lucida Sans Unicode" w:cs="Times New Roman"/>
                <w:sz w:val="24"/>
                <w:szCs w:val="24"/>
                <w:shd w:val="clear" w:color="auto" w:fill="auto"/>
                <w:lang w:val="ru-RU" w:eastAsia="hi-IN" w:bidi="hi-IN"/>
              </w:rPr>
              <w:t xml:space="preserve">2. Справки о стоимости выполненных работ по форме КС-3;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995"/>
              <w:widowControl w:val="false"/>
              <w:pBdr/>
              <w:tabs>
                <w:tab w:val="left" w:leader="none" w:pos="175"/>
                <w:tab w:val="clear" w:leader="none" w:pos="708"/>
              </w:tabs>
              <w:spacing w:after="0" w:before="0"/>
              <w:ind w:firstLine="0" w:left="50"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Lucida Sans Unicode" w:cs="Times New Roman"/>
                <w:sz w:val="24"/>
                <w:szCs w:val="24"/>
                <w:shd w:val="clear" w:color="auto" w:fill="auto"/>
                <w:lang w:val="ru-RU" w:eastAsia="hi-IN" w:bidi="hi-IN"/>
              </w:rPr>
              <w:t xml:space="preserve">3. Общий журнал работ;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995"/>
              <w:widowControl w:val="false"/>
              <w:pBdr/>
              <w:tabs>
                <w:tab w:val="left" w:leader="none" w:pos="175"/>
                <w:tab w:val="clear" w:leader="none" w:pos="708"/>
              </w:tabs>
              <w:spacing w:after="0" w:before="0"/>
              <w:ind w:firstLine="0" w:left="50"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Lucida Sans Unicode" w:cs="Times New Roman"/>
                <w:sz w:val="24"/>
                <w:szCs w:val="24"/>
                <w:shd w:val="clear" w:color="auto" w:fill="auto"/>
                <w:lang w:val="ru-RU" w:eastAsia="hi-IN" w:bidi="hi-IN"/>
              </w:rPr>
              <w:t xml:space="preserve">4. Специальные журналы (сварочных, бетонных, антикоррозионных и т.д., </w:t>
            </w:r>
            <w:r>
              <w:rPr>
                <w:rFonts w:eastAsia="Lucida Sans Unicode" w:cs="Times New Roman"/>
                <w:b w:val="0"/>
                <w:bCs w:val="0"/>
                <w:sz w:val="24"/>
                <w:szCs w:val="24"/>
                <w:shd w:val="clear" w:color="auto" w:fill="auto"/>
                <w:lang w:val="ru-RU" w:eastAsia="hi-IN" w:bidi="hi-IN"/>
              </w:rPr>
              <w:t xml:space="preserve">согласно условиям и видам работ предусмотренных по Договору</w:t>
            </w:r>
            <w:r>
              <w:rPr>
                <w:rFonts w:eastAsia="Lucida Sans Unicode" w:cs="Times New Roman"/>
                <w:sz w:val="24"/>
                <w:szCs w:val="24"/>
                <w:shd w:val="clear" w:color="auto" w:fill="auto"/>
                <w:lang w:val="ru-RU" w:eastAsia="hi-IN" w:bidi="hi-IN"/>
              </w:rPr>
              <w:t xml:space="preserve">);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995"/>
              <w:widowControl w:val="false"/>
              <w:pBdr/>
              <w:tabs>
                <w:tab w:val="left" w:leader="none" w:pos="50"/>
                <w:tab w:val="left" w:leader="none" w:pos="300"/>
                <w:tab w:val="clear" w:leader="none" w:pos="708"/>
              </w:tabs>
              <w:spacing w:after="0" w:before="0"/>
              <w:ind w:firstLine="0" w:left="50"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Lucida Sans Unicode" w:cs="Times New Roman"/>
                <w:sz w:val="24"/>
                <w:szCs w:val="24"/>
                <w:shd w:val="clear" w:color="auto" w:fill="auto"/>
                <w:lang w:val="ru-RU" w:eastAsia="hi-IN" w:bidi="hi-IN"/>
              </w:rPr>
              <w:t xml:space="preserve">5. Акты приема передачи основных средств по форме ОС-3 (Форма Акта ОС-3 предоставляется Заказчиком по запросу Подрядчика);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995"/>
              <w:widowControl w:val="false"/>
              <w:pBdr/>
              <w:tabs>
                <w:tab w:val="left" w:leader="none" w:pos="175"/>
                <w:tab w:val="clear" w:leader="none" w:pos="708"/>
              </w:tabs>
              <w:spacing w:after="0" w:before="0"/>
              <w:ind w:firstLine="0" w:left="50"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Lucida Sans Unicode" w:cs="Times New Roman"/>
                <w:sz w:val="24"/>
                <w:szCs w:val="24"/>
                <w:shd w:val="clear" w:color="auto" w:fill="auto"/>
                <w:lang w:val="ru-RU" w:eastAsia="hi-IN" w:bidi="hi-IN"/>
              </w:rPr>
              <w:t xml:space="preserve">6. Исполнительную документацию (заверенную подписью и печатью Подрядчика):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995"/>
              <w:widowControl w:val="false"/>
              <w:pBdr/>
              <w:tabs>
                <w:tab w:val="left" w:leader="none" w:pos="34"/>
                <w:tab w:val="clear" w:leader="none" w:pos="708"/>
              </w:tabs>
              <w:spacing w:after="0" w:before="0"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Lucida Sans Unicode" w:cs="Times New Roman"/>
                <w:sz w:val="24"/>
                <w:szCs w:val="24"/>
                <w:shd w:val="clear" w:color="auto" w:fill="auto"/>
                <w:lang w:val="ru-RU" w:eastAsia="hi-IN" w:bidi="hi-IN"/>
              </w:rPr>
              <w:t xml:space="preserve">- акты освидетельствования скрытых работ с фотоматериалами;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995"/>
              <w:widowControl w:val="false"/>
              <w:pBdr/>
              <w:tabs>
                <w:tab w:val="left" w:leader="none" w:pos="34"/>
                <w:tab w:val="clear" w:leader="none" w:pos="708"/>
                <w:tab w:val="left" w:leader="none" w:pos="884"/>
              </w:tabs>
              <w:spacing w:after="0" w:before="0"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Lucida Sans Unicode" w:cs="Times New Roman"/>
                <w:sz w:val="24"/>
                <w:szCs w:val="24"/>
                <w:shd w:val="clear" w:color="auto" w:fill="auto"/>
                <w:lang w:val="ru-RU" w:eastAsia="hi-IN" w:bidi="hi-IN"/>
              </w:rPr>
              <w:t xml:space="preserve">- паспорта, сертификаты соответствия на смонтированное оборудование и примененные материалы;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995"/>
              <w:widowControl w:val="false"/>
              <w:pBdr/>
              <w:tabs>
                <w:tab w:val="left" w:leader="none" w:pos="34"/>
                <w:tab w:val="clear" w:leader="none" w:pos="708"/>
                <w:tab w:val="left" w:leader="none" w:pos="884"/>
              </w:tabs>
              <w:spacing w:after="0" w:before="0"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Lucida Sans Unicode" w:cs="Times New Roman"/>
                <w:sz w:val="24"/>
                <w:szCs w:val="24"/>
                <w:shd w:val="clear" w:color="auto" w:fill="auto"/>
                <w:lang w:val="ru-RU" w:eastAsia="hi-IN" w:bidi="hi-IN"/>
              </w:rPr>
              <w:t xml:space="preserve">- акты испытаний (акты гидравлических и/или пневмотических испытаний, акты промывки и продувки трубопровода);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995"/>
              <w:widowControl w:val="false"/>
              <w:pBdr/>
              <w:tabs>
                <w:tab w:val="left" w:leader="none" w:pos="34"/>
                <w:tab w:val="clear" w:leader="none" w:pos="708"/>
                <w:tab w:val="left" w:leader="none" w:pos="884"/>
              </w:tabs>
              <w:spacing w:after="0" w:before="0"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Lucida Sans Unicode" w:cs="Times New Roman"/>
                <w:sz w:val="24"/>
                <w:szCs w:val="24"/>
                <w:shd w:val="clear" w:color="auto" w:fill="auto"/>
                <w:lang w:val="ru-RU" w:eastAsia="hi-IN" w:bidi="hi-IN"/>
              </w:rPr>
              <w:t xml:space="preserve">- акты зачистки резервуаров (если таковы работы предусмотрены Договором);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995"/>
              <w:widowControl w:val="false"/>
              <w:pBdr/>
              <w:tabs>
                <w:tab w:val="left" w:leader="none" w:pos="34"/>
                <w:tab w:val="clear" w:leader="none" w:pos="708"/>
                <w:tab w:val="left" w:leader="none" w:pos="884"/>
              </w:tabs>
              <w:spacing w:after="0" w:before="0"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Lucida Sans Unicode" w:cs="Times New Roman"/>
                <w:sz w:val="24"/>
                <w:szCs w:val="24"/>
                <w:shd w:val="clear" w:color="auto" w:fill="auto"/>
                <w:lang w:val="ru-RU" w:eastAsia="hi-IN" w:bidi="hi-IN"/>
              </w:rPr>
              <w:t xml:space="preserve">- накладные или счета-фактуры на материалы и оборудование (при необходимости);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995"/>
              <w:widowControl w:val="false"/>
              <w:pBdr/>
              <w:tabs>
                <w:tab w:val="left" w:leader="none" w:pos="34"/>
                <w:tab w:val="clear" w:leader="none" w:pos="708"/>
                <w:tab w:val="left" w:leader="none" w:pos="884"/>
              </w:tabs>
              <w:spacing w:after="0" w:before="0"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Lucida Sans Unicode" w:cs="Times New Roman"/>
                <w:sz w:val="24"/>
                <w:szCs w:val="24"/>
                <w:shd w:val="clear" w:color="auto" w:fill="auto"/>
                <w:lang w:val="ru-RU" w:eastAsia="hi-IN" w:bidi="hi-IN"/>
              </w:rPr>
              <w:t xml:space="preserve">- э</w:t>
            </w:r>
            <w:r>
              <w:rPr>
                <w:rFonts w:eastAsia="Lucida Sans Unicode" w:cs="Times New Roman"/>
                <w:sz w:val="24"/>
                <w:szCs w:val="24"/>
                <w:shd w:val="clear" w:color="auto" w:fill="auto"/>
                <w:lang w:val="ru-RU" w:eastAsia="en-US" w:bidi="hi-IN"/>
              </w:rPr>
              <w:t xml:space="preserve">ксплуатационная документация, сертификаты, технические условия, протоколы, инструкции, паспорта;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995"/>
              <w:widowControl w:val="false"/>
              <w:pBdr/>
              <w:tabs>
                <w:tab w:val="left" w:leader="none" w:pos="34"/>
                <w:tab w:val="clear" w:leader="none" w:pos="708"/>
                <w:tab w:val="left" w:leader="none" w:pos="884"/>
              </w:tabs>
              <w:spacing w:after="0" w:before="0"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Lucida Sans Unicode" w:cs="Times New Roman"/>
                <w:sz w:val="24"/>
                <w:szCs w:val="24"/>
                <w:shd w:val="clear" w:color="auto" w:fill="auto"/>
                <w:lang w:val="ru-RU" w:eastAsia="en-US" w:bidi="hi-IN"/>
              </w:rPr>
              <w:t xml:space="preserve">- документы, удостоверяющие качество используемых Подрядчиком Материально-технических ресурсов;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995"/>
              <w:widowControl w:val="false"/>
              <w:pBdr/>
              <w:tabs>
                <w:tab w:val="left" w:leader="none" w:pos="34"/>
                <w:tab w:val="clear" w:leader="none" w:pos="708"/>
                <w:tab w:val="left" w:leader="none" w:pos="884"/>
              </w:tabs>
              <w:spacing w:after="0" w:before="0"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Lucida Sans Unicode" w:cs="Times New Roman"/>
                <w:sz w:val="24"/>
                <w:szCs w:val="24"/>
                <w:shd w:val="clear" w:color="auto" w:fill="auto"/>
                <w:lang w:val="ru-RU" w:eastAsia="en-US" w:bidi="hi-IN"/>
              </w:rPr>
              <w:t xml:space="preserve">- пофамильные списки персонала, задействованного при производстве Работ, а также копии всех документов, подтверждающих его квалификацию, а также,</w:t>
            </w:r>
            <w:r>
              <w:rPr>
                <w:rFonts w:eastAsia="Lucida Sans Unicode" w:cs="Times New Roman"/>
                <w:sz w:val="24"/>
                <w:szCs w:val="24"/>
                <w:shd w:val="clear" w:color="auto" w:fill="auto"/>
                <w:lang w:val="ru-RU" w:eastAsia="hi-IN" w:bidi="hi-IN"/>
              </w:rPr>
              <w:t xml:space="preserve"> документы, подтверждающие аттестацию сварщиков и специалистов сварочного производства;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995"/>
              <w:widowControl w:val="false"/>
              <w:pBdr/>
              <w:tabs>
                <w:tab w:val="left" w:leader="none" w:pos="34"/>
                <w:tab w:val="clear" w:leader="none" w:pos="708"/>
                <w:tab w:val="left" w:leader="none" w:pos="884"/>
              </w:tabs>
              <w:spacing w:after="0" w:before="0"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Lucida Sans Unicode" w:cs="Times New Roman"/>
                <w:sz w:val="24"/>
                <w:szCs w:val="24"/>
                <w:shd w:val="clear" w:color="auto" w:fill="auto"/>
                <w:lang w:val="ru-RU" w:eastAsia="en-US" w:bidi="hi-IN"/>
              </w:rPr>
              <w:t xml:space="preserve">- фото/видео -материалы выполнения работ (при необходимости по запросу Заказчика);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Lucida Sans Unicode" w:cs="Times New Roman"/>
                <w:sz w:val="24"/>
                <w:szCs w:val="24"/>
                <w:shd w:val="clear" w:color="auto" w:fill="auto"/>
                <w:lang w:val="ru-RU" w:eastAsia="hi-IN" w:bidi="hi-IN"/>
              </w:rPr>
              <w:t xml:space="preserve">- и т. д. (</w:t>
            </w:r>
            <w:r>
              <w:rPr>
                <w:rFonts w:eastAsia="Lucida Sans Unicode" w:cs="Times New Roman"/>
                <w:b w:val="0"/>
                <w:bCs w:val="0"/>
                <w:sz w:val="24"/>
                <w:szCs w:val="24"/>
                <w:shd w:val="clear" w:color="auto" w:fill="auto"/>
                <w:lang w:val="ru-RU" w:eastAsia="hi-IN" w:bidi="hi-IN"/>
              </w:rPr>
              <w:t xml:space="preserve">согласно условиям и видам работ предусмотренных по Договору)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0"/>
                <w:numId w:val="0"/>
              </w:numPr>
              <w:pBdr/>
              <w:spacing w:after="60" w:before="60"/>
              <w:ind w:firstLine="0" w:left="0"/>
              <w:jc w:val="left"/>
              <w:outlineLvl w:val="2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contextualSpacing w:val="true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ru-RU" w:eastAsia="ru-RU" w:bidi="ar-SA"/>
              </w:rPr>
              <w:t xml:space="preserve">3.</w:t>
            </w: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2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 w:firstLine="0" w:left="37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ru-RU" w:eastAsia="ru-RU" w:bidi="ar-SA"/>
              </w:rPr>
              <w:t xml:space="preserve">3.1.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Гарантийный срок на выполненные работы: не менее 24 месяцев.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Заказчик, обнаруживший после прием</w:t>
            </w:r>
            <w:r>
              <w:rPr>
                <w:rFonts w:eastAsia="Times New Roman" w:cs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ки работы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Подрядчика, а Подрядчик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устраняет их за свой счет в согласованные сторонами сроки и компенсирует Заказчику понесенные при этом убытки </w:t>
            </w:r>
            <w:r>
              <w:rPr>
                <w:rFonts w:eastAsia="Times New Roman" w:cs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в разумный срок.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0"/>
                <w:numId w:val="0"/>
              </w:numPr>
              <w:pBdr/>
              <w:spacing w:after="60" w:before="60"/>
              <w:ind w:firstLine="0" w:left="0"/>
              <w:jc w:val="left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 w:firstLine="0" w:left="37"/>
              <w:contextualSpacing w:val="true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ru-RU" w:eastAsia="ru-RU" w:bidi="ar-SA"/>
              </w:rPr>
              <w:t xml:space="preserve">4.</w:t>
            </w: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keepNext w:val="true"/>
              <w:widowControl w:val="false"/>
              <w:pBdr/>
              <w:spacing w:after="6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 w:firstLine="0" w:left="37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ru-RU" w:eastAsia="ru-RU" w:bidi="ar-SA"/>
              </w:rPr>
              <w:t xml:space="preserve">4.1.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Borders/>
            <w:tcW w:w="752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Требования и обязательства: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- о том, что подрядчик (субподрядчики), помимо места производства работ, будет обязан принять, например, место (помещение) для складирования материально-технических ресурсов и оборудования;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- требования к доставке, приемке, разгрузке, складированию и хранению прибывающих на место производства работ материально-технических ресурсов и оборудования, необходимых для выполнения работ;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- требования к процедурам взаимодействия с Заказчиком;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rFonts w:eastAsia="Calibri" w:eastAsiaTheme="minorHAnsi"/>
                <w:sz w:val="24"/>
                <w:szCs w:val="24"/>
              </w:rPr>
            </w:pPr>
            <w:r>
              <w:rPr>
                <w:rFonts w:eastAsia="Calibri" w:cs="Times New Roman" w:eastAsiaTheme="minorHAnsi"/>
                <w:sz w:val="24"/>
                <w:szCs w:val="24"/>
                <w:lang w:val="ru-RU" w:eastAsia="ru-RU" w:bidi="ar-SA"/>
              </w:rPr>
              <w:t xml:space="preserve">- требования в отношении режима прохода на территорию заказчика и правила поведения на ней;</w:t>
            </w:r>
            <w:r>
              <w:rPr>
                <w:rFonts w:eastAsia="Calibri" w:eastAsiaTheme="minorHAnsi"/>
                <w:sz w:val="24"/>
                <w:szCs w:val="24"/>
              </w:rPr>
            </w:r>
            <w:r>
              <w:rPr>
                <w:rFonts w:eastAsia="Calibri" w:eastAsiaTheme="minorHAnsi"/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eastAsiaTheme="minorHAnsi"/>
                <w:sz w:val="24"/>
                <w:szCs w:val="24"/>
                <w:lang w:val="ru-RU" w:eastAsia="ru-RU" w:bidi="ar-SA"/>
              </w:rPr>
              <w:t xml:space="preserve">- иные требования к подрядчику и его обязательствам, влияющим на исполнение договора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- требования в отношении страхования (оборудования заказчика, передаваемого подрядчику в монтаж, если это предусмотрено проектом договора)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 w:firstLine="0" w:left="37"/>
              <w:contextualSpacing w:val="true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ru-RU" w:eastAsia="ru-RU" w:bidi="ar-SA"/>
              </w:rPr>
              <w:t xml:space="preserve">4.2.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/>
            <w:tcW w:w="3331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val="ru-RU" w:eastAsia="ru-RU" w:bidi="ar-SA"/>
              </w:rPr>
              <w:t xml:space="preserve">Требования к субподрядным организациям, привлекаемым к выполнению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/>
            <w:tcW w:w="4190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val="ru-RU" w:eastAsia="ru-RU" w:bidi="ar-SA"/>
              </w:rPr>
              <w:t xml:space="preserve">В</w:t>
            </w:r>
            <w:r>
              <w:rPr>
                <w:rFonts w:eastAsia="Times New Roman" w:cs="Times New Roman"/>
                <w:iCs/>
                <w:sz w:val="24"/>
                <w:szCs w:val="24"/>
                <w:lang w:val="ru-RU" w:eastAsia="ru-RU" w:bidi="ar-SA"/>
              </w:rPr>
              <w:t xml:space="preserve"> 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center"/>
              <w:rPr>
                <w:b/>
                <w:sz w:val="24"/>
              </w:rPr>
            </w:pPr>
            <w:r>
              <w:rPr>
                <w:rFonts w:eastAsia="Times New Roman" w:cs="Times New Roman"/>
                <w:b/>
                <w:sz w:val="24"/>
                <w:lang w:val="ru-RU" w:eastAsia="ru-RU" w:bidi="ar-SA"/>
              </w:rPr>
              <w:t xml:space="preserve">5.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gridSpan w:val="3"/>
            <w:tcBorders/>
            <w:tcW w:w="7521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Прочие требования к выполняемым работам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center"/>
              <w:rPr>
                <w:sz w:val="24"/>
              </w:rPr>
            </w:pPr>
            <w:r>
              <w:rPr>
                <w:rFonts w:eastAsia="Times New Roman" w:cs="Times New Roman"/>
                <w:sz w:val="24"/>
                <w:lang w:val="ru-RU" w:eastAsia="ru-RU" w:bidi="ar-SA"/>
              </w:rPr>
              <w:t xml:space="preserve">5.1.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Borders/>
            <w:tcW w:w="7521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При выполнении работ необходимо выполнять требования законодательства в области охраны окружающей среды. Отходы, образующиеся в ходе производства работ, Подрядчик сортирует по классу опасности и вывозит на полигон, указанный Заказчиком.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0"/>
                <w:numId w:val="0"/>
              </w:numPr>
              <w:pBdr/>
              <w:spacing w:after="60" w:before="60"/>
              <w:ind w:firstLine="0" w:left="0"/>
              <w:jc w:val="left"/>
              <w:outlineLvl w:val="2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lang w:val="ru-RU" w:eastAsia="ru-RU" w:bidi="ar-SA"/>
              </w:rPr>
              <w:t xml:space="preserve">5.2.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gridSpan w:val="2"/>
            <w:tcBorders/>
            <w:tcW w:w="3700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lang w:val="ru-RU" w:eastAsia="ru-RU" w:bidi="ar-SA"/>
              </w:rPr>
              <w:t xml:space="preserve">Экологические требования по охране окружающей среды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3821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Согласно действующим нормам и правилам, мероприятия по охране окружающей среды (Закон РФ «Об охране окружающей природной среды» № 45-Ф3 от 09.05.05.)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0"/>
                <w:numId w:val="0"/>
              </w:numPr>
              <w:pBdr/>
              <w:spacing w:after="60" w:before="60"/>
              <w:ind w:firstLine="0" w:left="0"/>
              <w:jc w:val="left"/>
              <w:outlineLvl w:val="2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lang w:val="ru-RU" w:eastAsia="ru-RU" w:bidi="ar-SA"/>
              </w:rPr>
              <w:t xml:space="preserve">5.3.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gridSpan w:val="3"/>
            <w:tcBorders/>
            <w:tcW w:w="7521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Согласно п. 2.1.3 Договора подряда, п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ru-RU" w:eastAsia="ru-RU" w:bidi="ar-SA"/>
              </w:rPr>
              <w:t xml:space="preserve">ри наличии технической возможности и соотве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ru-RU" w:eastAsia="ru-RU" w:bidi="ar-SA"/>
              </w:rPr>
              <w:t xml:space="preserve">тствующих ресурсов обеспечить Подрядчика коммунальными ресурсами (электроснабжение, водоснабжение и водоотведение, сжатый воздух), предоставить помещения для размещения персонала, складские и / или иные помещения, а также оказать иные услуги в соответствии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 видам работ, предусмотренных</w:t>
            </w:r>
            <w:r>
              <w:rPr>
                <w:rFonts w:eastAsia="Lucida Sans Unicode" w:cs="Times New Roman"/>
                <w:b w:val="0"/>
                <w:bCs w:val="0"/>
                <w:color w:val="000000"/>
                <w:sz w:val="24"/>
                <w:szCs w:val="24"/>
                <w:shd w:val="clear" w:color="auto" w:fill="auto"/>
                <w:lang w:val="ru-RU" w:eastAsia="hi-IN" w:bidi="hi-IN"/>
              </w:rPr>
              <w:t xml:space="preserve"> по Договору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ru-RU" w:eastAsia="ru-RU" w:bidi="ar-SA"/>
              </w:rPr>
              <w:t xml:space="preserve">Предоставление Заказчиком ресурсов и услуг, указанных в Технических требованиях (Приложение № 1 к Договору), осуществляется без дополнительной оплаты в соответствии с Порядком пред</w:t>
            </w:r>
            <w:r>
              <w:rPr>
                <w:rFonts w:eastAsia="Times New Roman" w:cs="Times New Roman"/>
                <w:bCs/>
                <w:sz w:val="24"/>
                <w:szCs w:val="24"/>
                <w:lang w:val="ru-RU" w:eastAsia="ru-RU" w:bidi="ar-SA"/>
              </w:rPr>
              <w:t xml:space="preserve">оставления ресурсов и оказания Заказчиком услуг, необходимых для исполнения Подрядчиком обязательств по Договору (Приложение № 10 к Договору). Предоставленные Заказчиком ресурсы и услуги используются Подрядчиком в целях исполнения обязательств по Договору.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  <w:r>
              <w:rPr>
                <w:rFonts w:ascii="Times New Roman" w:hAnsi="Times New Roman" w:eastAsia="Times New Roman" w:cs="Times New Roman"/>
                <w:lang w:eastAsia="ru-RU" w:bidi="ar-SA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0"/>
                <w:numId w:val="0"/>
              </w:numPr>
              <w:pBdr/>
              <w:spacing w:after="60" w:before="60"/>
              <w:ind w:firstLine="0" w:left="0"/>
              <w:jc w:val="left"/>
              <w:outlineLvl w:val="2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17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center"/>
              <w:rPr>
                <w:sz w:val="24"/>
              </w:rPr>
            </w:pPr>
            <w:r>
              <w:rPr>
                <w:rFonts w:eastAsia="Times New Roman" w:cs="Times New Roman"/>
                <w:sz w:val="24"/>
                <w:lang w:val="ru-RU" w:eastAsia="ru-RU" w:bidi="ar-SA"/>
              </w:rPr>
              <w:t xml:space="preserve">5.4.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3"/>
            <w:tcBorders/>
            <w:tcW w:w="7521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Передача помещений осуществляется на основании акта сдачи-приемки по форме, согласованной Сторонами.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Заказчик несет расходы по капитальному и текущему ремонту предоставленных в пользование </w:t>
            </w:r>
            <w:r>
              <w:rPr>
                <w:rFonts w:eastAsia="Times New Roman" w:cs="Times New Roman"/>
                <w:bCs/>
                <w:sz w:val="24"/>
                <w:szCs w:val="24"/>
                <w:lang w:val="ru-RU" w:eastAsia="ru-RU" w:bidi="ar-SA"/>
              </w:rPr>
              <w:t xml:space="preserve">помещений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. Подрядчик </w:t>
            </w:r>
            <w:r>
              <w:rPr>
                <w:rFonts w:eastAsia="Times New Roman" w:cs="Times New Roman"/>
                <w:bCs/>
                <w:sz w:val="24"/>
                <w:szCs w:val="24"/>
                <w:lang w:val="ru-RU" w:eastAsia="ru-RU" w:bidi="ar-SA"/>
              </w:rPr>
              <w:t xml:space="preserve">обеспечивает уборку и сохранность переданных Заказчиком по соответствующим актам сдачи-приемки помещений, а также возврат </w:t>
            </w:r>
            <w:r>
              <w:rPr>
                <w:rFonts w:eastAsia="Times New Roman" w:cs="Times New Roman"/>
                <w:bCs/>
                <w:sz w:val="24"/>
                <w:szCs w:val="24"/>
                <w:lang w:val="ru-RU" w:eastAsia="ru-RU" w:bidi="ar-SA"/>
              </w:rPr>
              <w:t xml:space="preserve">их Заказчику в первоначальном состоянии с учетом естественного износа не позднее даты окончания выполнения Работ, либо, в случаях прекращения (расторжения) Договора, – не позднее 3 (трех) рабочих дней с даты получения соответствующего требования Заказчика.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86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</w:t>
            </w:r>
            <w:r>
              <w:rPr>
                <w:rFonts w:eastAsia="Times New Roman" w:cs="Times New Roman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71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  <w:p>
            <w:pPr>
              <w:pStyle w:val="995"/>
              <w:widowControl w:val="false"/>
              <w:pBdr/>
              <w:spacing w:after="0" w:before="0"/>
              <w:ind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lang w:val="ru-RU" w:eastAsia="ru-RU" w:bidi="ar-SA"/>
              </w:rPr>
            </w:r>
          </w:p>
        </w:tc>
        <w:tc>
          <w:tcPr>
            <w:tcBorders/>
            <w:tcW w:w="2392" w:type="dxa"/>
            <w:textDirection w:val="lrTb"/>
            <w:noWrap w:val="false"/>
          </w:tcPr>
          <w:p>
            <w:pPr>
              <w:pStyle w:val="995"/>
              <w:widowControl w:val="false"/>
              <w:numPr>
                <w:ilvl w:val="0"/>
                <w:numId w:val="0"/>
              </w:numPr>
              <w:pBdr/>
              <w:spacing w:after="60" w:before="60"/>
              <w:ind w:firstLine="0" w:left="0"/>
              <w:jc w:val="left"/>
              <w:outlineLvl w:val="2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</w:p>
        </w:tc>
      </w:tr>
    </w:tbl>
    <w:p>
      <w:pPr>
        <w:pBdr/>
        <w:spacing/>
        <w:ind/>
        <w:rPr/>
        <w:sectPr>
          <w:headerReference w:type="default" r:id="rId11"/>
          <w:headerReference w:type="first" r:id="rId12"/>
          <w:footerReference w:type="default" r:id="rId22"/>
          <w:footerReference w:type="first" r:id="rId23"/>
          <w:footnotePr/>
          <w:endnotePr/>
          <w:type w:val="nextPage"/>
          <w:pgSz w:h="11906" w:orient="landscape" w:w="16838"/>
          <w:pgMar w:top="851" w:right="567" w:bottom="851" w:left="992" w:header="680" w:footer="0" w:gutter="0"/>
          <w:cols w:num="1" w:sep="0" w:space="1701" w:equalWidth="1"/>
          <w:titlePg/>
        </w:sectPr>
      </w:pPr>
      <w:r/>
      <w:r/>
    </w:p>
    <w:p>
      <w:pPr>
        <w:pStyle w:val="996"/>
        <w:numPr>
          <w:ilvl w:val="0"/>
          <w:numId w:val="0"/>
        </w:numPr>
        <w:pBdr/>
        <w:tabs>
          <w:tab w:val="clear" w:leader="none" w:pos="708"/>
          <w:tab w:val="left" w:leader="none" w:pos="851"/>
        </w:tabs>
        <w:spacing/>
        <w:ind w:firstLine="0"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3. Требования к Участнику закупки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numPr>
          <w:ilvl w:val="0"/>
          <w:numId w:val="0"/>
        </w:numPr>
        <w:pBdr/>
        <w:tabs>
          <w:tab w:val="clear" w:leader="none" w:pos="708"/>
          <w:tab w:val="left" w:leader="none" w:pos="851"/>
        </w:tabs>
        <w:spacing/>
        <w:ind w:firstLine="0" w:left="0"/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10036" w:type="dxa"/>
        <w:jc w:val="center"/>
        <w:tblInd w:w="0" w:type="dxa"/>
        <w:tblBorders/>
        <w:tblLayout w:type="fixed"/>
        <w:tblCellMar>
          <w:left w:w="108" w:type="dxa"/>
          <w:top w:w="55" w:type="dxa"/>
          <w:right w:w="108" w:type="dxa"/>
          <w:bottom w:w="55" w:type="dxa"/>
        </w:tblCellMar>
        <w:tblLook w:val="04A0" w:firstRow="1" w:lastRow="0" w:firstColumn="1" w:lastColumn="0" w:noHBand="0" w:noVBand="1"/>
      </w:tblPr>
      <w:tblGrid>
        <w:gridCol w:w="680"/>
        <w:gridCol w:w="3954"/>
        <w:gridCol w:w="5402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60" w:before="60"/>
              <w:ind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954" w:type="dxa"/>
            <w:vAlign w:val="center"/>
            <w:textDirection w:val="lrTb"/>
            <w:noWrap w:val="false"/>
          </w:tcPr>
          <w:p>
            <w:pPr>
              <w:pStyle w:val="1111"/>
              <w:widowControl w:val="false"/>
              <w:numPr>
                <w:ilvl w:val="0"/>
                <w:numId w:val="0"/>
              </w:numPr>
              <w:pBdr/>
              <w:spacing w:after="0" w:before="0"/>
              <w:ind w:firstLine="414" w:left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Требования к Участнику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2" w:type="dxa"/>
            <w:vAlign w:val="center"/>
            <w:textDirection w:val="lrTb"/>
            <w:noWrap w:val="false"/>
          </w:tcPr>
          <w:p>
            <w:pPr>
              <w:pStyle w:val="1111"/>
              <w:keepNext w:val="false"/>
              <w:widowControl w:val="false"/>
              <w:numPr>
                <w:ilvl w:val="0"/>
                <w:numId w:val="0"/>
              </w:numPr>
              <w:pBdr/>
              <w:spacing w:after="60" w:before="0"/>
              <w:ind w:firstLine="0" w:left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Требования к документам, подтверждающим соответствие Участника установленным требованиям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pStyle w:val="995"/>
              <w:widowControl w:val="false"/>
              <w:pBdr/>
              <w:tabs>
                <w:tab w:val="left" w:leader="none" w:pos="147"/>
                <w:tab w:val="clear" w:leader="none" w:pos="708"/>
              </w:tabs>
              <w:spacing w:after="60" w:before="60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1.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3954" w:type="dxa"/>
            <w:textDirection w:val="lrTb"/>
            <w:noWrap w:val="false"/>
          </w:tcPr>
          <w:p>
            <w:pPr>
              <w:pStyle w:val="1111"/>
              <w:widowControl w:val="false"/>
              <w:numPr>
                <w:ilvl w:val="0"/>
                <w:numId w:val="0"/>
              </w:numPr>
              <w:pBdr/>
              <w:spacing w:after="60" w:before="0"/>
              <w:ind w:firstLine="0" w:left="0"/>
              <w:jc w:val="both"/>
              <w:outlineLvl w:val="2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sz w:val="24"/>
                <w:szCs w:val="24"/>
                <w:lang w:val="ru-RU" w:eastAsia="ru-RU" w:bidi="ar-SA"/>
              </w:rPr>
              <w:t xml:space="preserve">Наличие у Участника закупочной процедуры опыта выполнения работ по ремонту складов го</w:t>
            </w:r>
            <w:r>
              <w:rPr>
                <w:rFonts w:eastAsia="Times New Roman" w:cs="Times New Roman"/>
                <w:b w:val="0"/>
                <w:sz w:val="24"/>
                <w:szCs w:val="24"/>
                <w:lang w:val="ru-RU" w:eastAsia="ru-RU" w:bidi="ar-SA"/>
              </w:rPr>
              <w:t xml:space="preserve">рюче-смазочных материалов, (не менее одного) за последние 3 (три) года предшествующие дате подачи заявки Участников на участие в настоящей закупочной процедуре, при этом учитываются только выполненные    Участником договоры (с учетом правопреемственности).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11"/>
              <w:widowControl w:val="false"/>
              <w:numPr>
                <w:ilvl w:val="0"/>
                <w:numId w:val="0"/>
              </w:numPr>
              <w:pBdr/>
              <w:spacing w:after="60" w:before="0"/>
              <w:ind w:firstLine="414" w:left="0"/>
              <w:jc w:val="both"/>
              <w:outlineLvl w:val="2"/>
              <w:rPr>
                <w:b w:val="0"/>
                <w:i/>
              </w:rPr>
            </w:pPr>
            <w:r>
              <w:rPr>
                <w:rFonts w:eastAsia="Times New Roman" w:cs="Times New Roman"/>
                <w:b w:val="0"/>
                <w:i/>
                <w:sz w:val="20"/>
                <w:szCs w:val="20"/>
                <w:lang w:val="ru-RU" w:eastAsia="ru-RU" w:bidi="ar-SA"/>
              </w:rPr>
              <w:t xml:space="preserve">(Не является отборочным критерием)</w:t>
            </w:r>
            <w:r>
              <w:rPr>
                <w:b w:val="0"/>
                <w:i/>
              </w:rPr>
            </w:r>
            <w:r>
              <w:rPr>
                <w:b w:val="0"/>
                <w:i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2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 w:after="0" w:before="0"/>
              <w:ind/>
              <w:jc w:val="both"/>
              <w:rPr/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Соответствие установленному требованию подтверждается путем представления участником закупки в составе заявки сведений о ранее выполненных договорах в справке об опыте в произвольной форме.</w:t>
            </w:r>
            <w:r/>
          </w:p>
          <w:p>
            <w:pPr>
              <w:pStyle w:val="995"/>
              <w:widowControl w:val="false"/>
              <w:pBdr/>
              <w:spacing w:after="0" w:before="0"/>
              <w:ind/>
              <w:jc w:val="both"/>
              <w:rPr/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Указанные в форме данные подтверждаются путем предоставления Участником сканов-копий договоров либо их частей (с приложением документов, предусмотренных требованиями договора, подтверждающих факт его исполнения).</w:t>
            </w:r>
            <w:r/>
          </w:p>
          <w:p>
            <w:pPr>
              <w:pStyle w:val="1111"/>
              <w:keepNext w:val="false"/>
              <w:widowControl w:val="false"/>
              <w:numPr>
                <w:ilvl w:val="0"/>
                <w:numId w:val="0"/>
              </w:numPr>
              <w:pBdr/>
              <w:spacing w:after="60" w:before="0"/>
              <w:ind w:firstLine="0" w:left="0"/>
              <w:jc w:val="both"/>
              <w:outlineLvl w:val="2"/>
              <w:rPr/>
            </w:pPr>
            <w:r>
              <w:rPr>
                <w:rFonts w:eastAsia="Times New Roman" w:cs="Times New Roman"/>
                <w:b w:val="0"/>
                <w:i/>
                <w:iCs/>
                <w:sz w:val="20"/>
                <w:szCs w:val="20"/>
                <w:lang w:val="ru-RU" w:eastAsia="ru-RU" w:bidi="ar-SA"/>
              </w:rPr>
              <w:t xml:space="preserve">К рассмотрению не принимаются подтверждающие документы, не указанные в справке об опыте в произвольной форме, а также сведения, не позволяющие явным (однозначным) образом определить опыт Участника</w:t>
            </w:r>
            <w:r>
              <w:rPr>
                <w:rFonts w:eastAsia="Times New Roman" w:cs="Times New Roman"/>
                <w:b w:val="0"/>
                <w:sz w:val="20"/>
                <w:szCs w:val="20"/>
                <w:lang w:val="ru-RU" w:eastAsia="ru-RU" w:bidi="ar-SA"/>
              </w:rPr>
              <w:t xml:space="preserve">.</w:t>
            </w:r>
            <w:r/>
          </w:p>
        </w:tc>
      </w:tr>
    </w:tbl>
    <w:p>
      <w:pPr>
        <w:pBdr/>
        <w:spacing/>
        <w:ind/>
        <w:rPr/>
        <w:sectPr>
          <w:headerReference w:type="default" r:id="rId13"/>
          <w:headerReference w:type="first" r:id="rId14"/>
          <w:footerReference w:type="default" r:id="rId24"/>
          <w:footerReference w:type="first" r:id="rId25"/>
          <w:footnotePr/>
          <w:endnotePr/>
          <w:type w:val="nextPage"/>
          <w:pgSz w:h="16838" w:orient="portrait" w:w="11906"/>
          <w:pgMar w:top="680" w:right="1134" w:bottom="851" w:left="992" w:header="0" w:footer="0" w:gutter="0"/>
          <w:cols w:num="1" w:sep="0" w:space="1701" w:equalWidth="1"/>
        </w:sectPr>
      </w:pPr>
      <w:r/>
      <w:r/>
    </w:p>
    <w:p>
      <w:pPr>
        <w:pStyle w:val="1085"/>
        <w:widowControl w:val="true"/>
        <w:pBdr/>
        <w:tabs>
          <w:tab w:val="left" w:leader="none" w:pos="560"/>
          <w:tab w:val="clear" w:leader="none" w:pos="709"/>
          <w:tab w:val="right" w:leader="dot" w:pos="9911"/>
        </w:tabs>
        <w:bidi w:val="false"/>
        <w:spacing w:after="0" w:before="120" w:line="240" w:lineRule="auto"/>
        <w:ind/>
        <w:jc w:val="center"/>
        <w:rPr>
          <w:sz w:val="24"/>
          <w:szCs w:val="24"/>
        </w:rPr>
      </w:pPr>
      <w:r>
        <w:fldChar w:fldCharType="begin"/>
      </w:r>
      <w:r>
        <w:rPr>
          <w:vanish/>
          <w:sz w:val="24"/>
          <w:szCs w:val="24"/>
        </w:rPr>
        <w:fldChar w:fldCharType="begin"/>
      </w:r>
      <w:r>
        <w:rPr>
          <w:vanish/>
          <w:sz w:val="24"/>
          <w:szCs w:val="24"/>
        </w:rPr>
        <w:instrText xml:space="preserve"> PAGEREF _Toc124252914 \h </w:instrText>
      </w:r>
      <w:r>
        <w:rPr>
          <w:vanish/>
          <w:sz w:val="24"/>
          <w:szCs w:val="24"/>
        </w:rPr>
        <w:fldChar w:fldCharType="separate"/>
      </w:r>
      <w:r>
        <w:rPr>
          <w:vanish/>
          <w:sz w:val="24"/>
          <w:szCs w:val="24"/>
        </w:rPr>
        <w:t xml:space="preserve">Ошибка: источник перекрёстной ссылки не найден</w:t>
      </w:r>
      <w:r>
        <w:rPr>
          <w:vanish/>
          <w:sz w:val="24"/>
          <w:szCs w:val="24"/>
        </w:rPr>
        <w:fldChar w:fldCharType="end"/>
      </w:r>
      <w:r>
        <w:rPr>
          <w:vanish/>
          <w:sz w:val="24"/>
          <w:szCs w:val="24"/>
        </w:rPr>
        <w:fldChar w:fldCharType="separate"/>
      </w:r>
      <w:r>
        <w:rPr>
          <w:vanish/>
          <w:sz w:val="24"/>
          <w:szCs w:val="24"/>
        </w:rPr>
        <w:fldChar w:fldCharType="end"/>
      </w:r>
      <w:r>
        <w:rPr>
          <w:sz w:val="24"/>
          <w:szCs w:val="24"/>
        </w:rPr>
        <w:t xml:space="preserve">4. Требования к документации по ценообразованию на этапе закупки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pBdr/>
        <w:tabs>
          <w:tab w:val="left" w:leader="none" w:pos="560"/>
          <w:tab w:val="clear" w:leader="none" w:pos="709"/>
          <w:tab w:val="right" w:leader="dot" w:pos="9911"/>
        </w:tabs>
        <w:spacing w:line="240" w:lineRule="auto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pBdr/>
        <w:spacing w:line="240" w:lineRule="auto"/>
        <w:ind w:right="0" w:firstLine="567" w:left="0"/>
        <w:rPr>
          <w:b w:val="0"/>
          <w:bCs w:val="0"/>
        </w:rPr>
      </w:pPr>
      <w:r>
        <w:rPr>
          <w:sz w:val="24"/>
          <w:szCs w:val="24"/>
        </w:rPr>
        <w:t xml:space="preserve">4.1.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 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1065"/>
        <w:widowControl w:val="true"/>
        <w:pBdr/>
        <w:bidi w:val="false"/>
        <w:spacing w:after="120" w:before="0" w:line="240" w:lineRule="auto"/>
        <w:ind w:right="0" w:firstLine="567" w:left="0"/>
        <w:jc w:val="both"/>
        <w:rPr>
          <w:b w:val="0"/>
          <w:bCs w:val="0"/>
          <w:i w:val="0"/>
          <w:caps w:val="0"/>
          <w:smallCaps w:val="0"/>
          <w:color w:val="000000"/>
          <w:spacing w:val="0"/>
          <w:sz w:val="24"/>
          <w:szCs w:val="24"/>
        </w:rPr>
      </w:pP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</w:rPr>
        <w:t xml:space="preserve">4.2. Дополнительные документы по ценообразованию в состав заявки Участника не включаются. </w:t>
      </w:r>
      <w:r>
        <w:rPr>
          <w:rFonts w:ascii="Times New Roman" w:hAnsi="Times New Roman"/>
          <w:b w:val="0"/>
          <w:i w:val="0"/>
          <w:caps w:val="0"/>
          <w:smallCaps w:val="0"/>
          <w:color w:val="000000"/>
          <w:spacing w:val="0"/>
          <w:sz w:val="24"/>
          <w:szCs w:val="24"/>
        </w:rPr>
      </w:r>
      <w:r>
        <w:rPr>
          <w:b w:val="0"/>
          <w:bCs w:val="0"/>
          <w:i w:val="0"/>
          <w:caps w:val="0"/>
          <w:smallCaps w:val="0"/>
          <w:color w:val="000000"/>
          <w:spacing w:val="0"/>
          <w:sz w:val="24"/>
          <w:szCs w:val="24"/>
        </w:rPr>
      </w:r>
    </w:p>
    <w:p>
      <w:pPr>
        <w:pStyle w:val="1065"/>
        <w:widowControl w:val="true"/>
        <w:pBdr/>
        <w:bidi w:val="false"/>
        <w:spacing w:after="120" w:before="0" w:line="240" w:lineRule="auto"/>
        <w:ind w:right="0" w:firstLine="567" w:left="0"/>
        <w:jc w:val="center"/>
        <w:rPr>
          <w:rFonts w:ascii="Times New Roman" w:hAnsi="Times New Roman"/>
          <w:b/>
          <w:bCs/>
          <w:i w:val="0"/>
          <w:caps w:val="0"/>
          <w:smallCaps w:val="0"/>
          <w:color w:val="000000"/>
          <w:spacing w:val="0"/>
          <w:sz w:val="24"/>
          <w:szCs w:val="24"/>
        </w:rPr>
      </w:pPr>
      <w:r>
        <w:rPr>
          <w:b/>
          <w:bCs/>
          <w:i w:val="0"/>
          <w:caps w:val="0"/>
          <w:smallCaps w:val="0"/>
          <w:color w:val="000000"/>
          <w:spacing w:val="0"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8"/>
          <w:lang w:val="ru-RU"/>
        </w:rPr>
        <w:t xml:space="preserve">4</w:t>
      </w:r>
      <w:r>
        <w:rPr>
          <w:rFonts w:ascii="Times New Roman" w:hAnsi="Times New Roman"/>
          <w:b/>
          <w:bCs/>
          <w:sz w:val="24"/>
          <w:szCs w:val="28"/>
          <w:lang w:val="ru-RU"/>
        </w:rPr>
        <w:t xml:space="preserve">.1. </w:t>
      </w:r>
      <w:bookmarkStart w:id="0" w:name="_Toc54646412"/>
      <w:r>
        <w:rPr>
          <w:rFonts w:ascii="Times New Roman" w:hAnsi="Times New Roman"/>
          <w:b/>
          <w:bCs/>
          <w:sz w:val="24"/>
          <w:szCs w:val="28"/>
          <w:lang w:val="ru-RU"/>
        </w:rPr>
        <w:t xml:space="preserve">Требования к документации по ценообразованию на этапе заключения (исполнения) договора</w:t>
      </w:r>
      <w:bookmarkEnd w:id="0"/>
      <w:r>
        <w:rPr>
          <w:b/>
          <w:bCs/>
        </w:rPr>
      </w:r>
      <w:r>
        <w:rPr>
          <w:rFonts w:ascii="Times New Roman" w:hAnsi="Times New Roman"/>
          <w:b/>
          <w:bCs/>
          <w:i w:val="0"/>
          <w:caps w:val="0"/>
          <w:smallCaps w:val="0"/>
          <w:color w:val="000000"/>
          <w:spacing w:val="0"/>
          <w:sz w:val="24"/>
          <w:szCs w:val="24"/>
        </w:rPr>
      </w:r>
    </w:p>
    <w:p>
      <w:pPr>
        <w:pStyle w:val="1065"/>
        <w:widowControl w:val="true"/>
        <w:pBdr/>
        <w:bidi w:val="false"/>
        <w:spacing w:after="0" w:before="0" w:line="276" w:lineRule="auto"/>
        <w:ind w:right="0" w:firstLine="0" w:left="567"/>
        <w:jc w:val="both"/>
        <w:rPr>
          <w:rFonts w:ascii="Times New Roman" w:hAnsi="Times New Roman"/>
          <w:b w:val="0"/>
          <w:i w:val="0"/>
          <w:caps w:val="0"/>
          <w:smallCaps w:val="0"/>
          <w:color w:val="000000"/>
          <w:spacing w:val="0"/>
          <w:sz w:val="28"/>
        </w:rPr>
      </w:pP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</w:rPr>
        <w:t xml:space="preserve">4.1.1. Требования к составлению сметной документации (при заключении договора):</w:t>
      </w:r>
      <w:r>
        <w:rPr>
          <w:rFonts w:ascii="Times New Roman" w:hAnsi="Times New Roman"/>
          <w:b w:val="0"/>
          <w:i w:val="0"/>
          <w:caps w:val="0"/>
          <w:smallCaps w:val="0"/>
          <w:color w:val="000000"/>
          <w:spacing w:val="0"/>
          <w:sz w:val="28"/>
        </w:rPr>
      </w:r>
      <w:r>
        <w:rPr>
          <w:rFonts w:ascii="Times New Roman" w:hAnsi="Times New Roman"/>
          <w:b w:val="0"/>
          <w:i w:val="0"/>
          <w:caps w:val="0"/>
          <w:smallCaps w:val="0"/>
          <w:color w:val="000000"/>
          <w:spacing w:val="0"/>
          <w:sz w:val="28"/>
        </w:rPr>
      </w:r>
    </w:p>
    <w:p>
      <w:pPr>
        <w:pStyle w:val="1065"/>
        <w:pBdr/>
        <w:spacing w:line="240" w:lineRule="auto"/>
        <w:ind w:right="0" w:firstLine="567" w:left="0"/>
        <w:rPr>
          <w:sz w:val="24"/>
          <w:szCs w:val="28"/>
        </w:rPr>
      </w:pPr>
      <w:r>
        <w:rPr>
          <w:sz w:val="24"/>
          <w:szCs w:val="28"/>
        </w:rPr>
        <w:t xml:space="preserve">4.1.1.1. Сметная документация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коэффициента,</w:t>
      </w:r>
      <w:r>
        <w:rPr>
          <w:sz w:val="24"/>
          <w:szCs w:val="28"/>
        </w:rPr>
        <w:t xml:space="preserve">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сметы, но перед начислением НДС).</w:t>
      </w:r>
      <w:r>
        <w:rPr>
          <w:sz w:val="24"/>
          <w:szCs w:val="28"/>
        </w:rPr>
      </w:r>
      <w:r>
        <w:rPr>
          <w:sz w:val="24"/>
          <w:szCs w:val="28"/>
        </w:rPr>
      </w:r>
    </w:p>
    <w:p>
      <w:pPr>
        <w:pStyle w:val="995"/>
        <w:pBdr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 xml:space="preserve">4.1.1.2. </w:t>
      </w:r>
      <w:r>
        <w:rPr>
          <w:rFonts w:cs="Times New Roman"/>
          <w:b w:val="0"/>
          <w:bCs/>
          <w:i w:val="0"/>
          <w:iCs/>
          <w:caps w:val="0"/>
          <w:smallCaps w:val="0"/>
          <w:color w:val="000000"/>
          <w:spacing w:val="0"/>
          <w:sz w:val="24"/>
          <w:szCs w:val="24"/>
        </w:rPr>
        <w:t xml:space="preserve">Внесение изменений в сметную документацию Заказчика, кроме применения понижающего коэффициента в соответствии с п.4.1.1,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widowControl w:val="true"/>
        <w:pBdr/>
        <w:bidi w:val="false"/>
        <w:spacing w:after="0" w:before="0" w:line="276" w:lineRule="auto"/>
        <w:ind w:right="0" w:firstLine="0" w:left="567"/>
        <w:jc w:val="both"/>
        <w:rPr>
          <w:sz w:val="24"/>
          <w:szCs w:val="24"/>
        </w:rPr>
      </w:pP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  <w:highlight w:val="none"/>
        </w:rPr>
      </w: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  <w:highlight w:val="none"/>
        </w:rPr>
      </w:r>
      <w:r>
        <w:rPr>
          <w:sz w:val="24"/>
          <w:szCs w:val="24"/>
        </w:rPr>
      </w:r>
    </w:p>
    <w:p>
      <w:pPr>
        <w:pStyle w:val="995"/>
        <w:widowControl w:val="true"/>
        <w:pBdr/>
        <w:bidi w:val="false"/>
        <w:spacing w:after="0" w:before="0" w:line="276" w:lineRule="auto"/>
        <w:ind w:right="0" w:firstLine="0" w:left="567"/>
        <w:jc w:val="both"/>
        <w:rPr>
          <w:b w:val="0"/>
          <w:bCs w:val="0"/>
          <w:i w:val="0"/>
          <w:caps w:val="0"/>
          <w:smallCaps w:val="0"/>
          <w:color w:val="000000"/>
          <w:spacing w:val="0"/>
          <w:sz w:val="24"/>
          <w:szCs w:val="24"/>
          <w:highlight w:val="none"/>
        </w:rPr>
      </w:pP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</w:rPr>
        <w:t xml:space="preserve">4.1.2. Требования к составлению сметной документации (на этапе исполнения договора):</w:t>
      </w:r>
      <w:r>
        <w:rPr>
          <w:sz w:val="24"/>
        </w:rPr>
      </w:r>
      <w:r>
        <w:rPr>
          <w:b w:val="0"/>
          <w:bCs w:val="0"/>
          <w:i w:val="0"/>
          <w:caps w:val="0"/>
          <w:smallCaps w:val="0"/>
          <w:color w:val="000000"/>
          <w:spacing w:val="0"/>
          <w:sz w:val="24"/>
          <w:szCs w:val="24"/>
          <w:highlight w:val="none"/>
        </w:rPr>
      </w:r>
    </w:p>
    <w:p>
      <w:pPr>
        <w:pStyle w:val="995"/>
        <w:pBdr/>
        <w:spacing w:line="276" w:lineRule="auto"/>
        <w:ind w:right="0" w:firstLine="567" w:left="0"/>
        <w:jc w:val="both"/>
        <w:rPr/>
      </w:pPr>
      <w:r>
        <w:rPr>
          <w:bCs/>
          <w:iCs/>
          <w:sz w:val="24"/>
          <w:szCs w:val="24"/>
        </w:rPr>
        <w:t xml:space="preserve">4.1.2.1. </w:t>
      </w:r>
      <w:r>
        <w:rPr>
          <w:rFonts w:cs="Times New Roman"/>
          <w:b w:val="0"/>
          <w:bCs w:val="0"/>
          <w:sz w:val="24"/>
          <w:szCs w:val="24"/>
        </w:rPr>
        <w:t xml:space="preserve">Учтенные в договорной смете понижающие коэффициенты обязательны к применению как в актах выполненных работ на стадии расчетов, так и в дополнительных сметах в случае их составления на стадии выполнения Договора подряда.</w:t>
      </w:r>
      <w:r/>
    </w:p>
    <w:p>
      <w:pPr>
        <w:pStyle w:val="995"/>
        <w:pBdr/>
        <w:spacing w:after="0" w:before="0" w:line="240" w:lineRule="auto"/>
        <w:ind w:right="0" w:firstLine="567" w:lef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 xml:space="preserve">4.1.2.2. Затраты на перебазировку техники, командировочные расходы при их наличии в договорной смете принимаются по подтверждающим документам, но не более суммы, предусмотренной сметным расчетом к договору.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995"/>
        <w:pBdr/>
        <w:spacing w:after="0" w:before="0" w:line="240" w:lineRule="auto"/>
        <w:ind w:right="0" w:firstLine="567" w:lef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 xml:space="preserve">4.1.2.3. Акт выполненных работ (КС-2) составляется подрядной организацией на основании договорной сметы.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995"/>
        <w:pBdr/>
        <w:spacing w:line="240" w:lineRule="auto"/>
        <w:ind w:firstLine="0" w:left="0"/>
        <w:jc w:val="lef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pBdr/>
        <w:spacing w:line="240" w:lineRule="auto"/>
        <w:ind w:firstLine="0" w:left="720"/>
        <w:jc w:val="lef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pBdr/>
        <w:spacing/>
        <w:ind/>
        <w:rPr>
          <w:rFonts w:eastAsia="Calibri"/>
          <w:b/>
          <w:iCs/>
        </w:rPr>
      </w:pPr>
      <w:r>
        <w:rPr>
          <w:rFonts w:eastAsia="Calibri"/>
          <w:b/>
          <w:iCs/>
        </w:rPr>
      </w:r>
      <w:r>
        <w:rPr>
          <w:rFonts w:eastAsia="Calibri"/>
          <w:b/>
          <w:iCs/>
        </w:rPr>
      </w:r>
      <w:r>
        <w:rPr>
          <w:rFonts w:eastAsia="Calibri"/>
          <w:b/>
          <w:iCs/>
        </w:rPr>
      </w:r>
    </w:p>
    <w:p>
      <w:pPr>
        <w:pStyle w:val="995"/>
        <w:pBdr/>
        <w:spacing/>
        <w:ind/>
        <w:rPr>
          <w:rFonts w:eastAsia="Calibri"/>
          <w:b/>
          <w:iCs/>
        </w:rPr>
      </w:pPr>
      <w:r>
        <w:rPr>
          <w:rFonts w:eastAsia="Calibri"/>
          <w:b/>
          <w:iCs/>
        </w:rPr>
      </w:r>
      <w:r>
        <w:rPr>
          <w:rFonts w:eastAsia="Calibri"/>
          <w:b/>
          <w:iCs/>
        </w:rPr>
      </w:r>
      <w:r>
        <w:rPr>
          <w:rFonts w:eastAsia="Calibri"/>
          <w:b/>
          <w:iCs/>
        </w:rPr>
      </w:r>
    </w:p>
    <w:p>
      <w:pPr>
        <w:pStyle w:val="995"/>
        <w:pBdr/>
        <w:spacing/>
        <w:ind/>
        <w:rPr>
          <w:rFonts w:eastAsia="Calibri"/>
          <w:b/>
          <w:iCs/>
        </w:rPr>
      </w:pPr>
      <w:r>
        <w:rPr>
          <w:rFonts w:eastAsia="Calibri"/>
          <w:b/>
          <w:iCs/>
        </w:rPr>
      </w:r>
      <w:r>
        <w:rPr>
          <w:rFonts w:eastAsia="Calibri"/>
          <w:b/>
          <w:iCs/>
        </w:rPr>
      </w:r>
      <w:r>
        <w:rPr>
          <w:rFonts w:eastAsia="Calibri"/>
          <w:b/>
          <w:iCs/>
        </w:rPr>
      </w:r>
    </w:p>
    <w:p>
      <w:pPr>
        <w:pStyle w:val="995"/>
        <w:pBdr/>
        <w:spacing/>
        <w:ind/>
        <w:rPr>
          <w:rFonts w:eastAsia="Calibri"/>
          <w:b/>
          <w:iCs/>
        </w:rPr>
      </w:pPr>
      <w:r>
        <w:rPr>
          <w:rFonts w:eastAsia="Calibri"/>
          <w:b/>
          <w:iCs/>
        </w:rPr>
      </w:r>
      <w:r>
        <w:rPr>
          <w:rFonts w:eastAsia="Calibri"/>
          <w:b/>
          <w:iCs/>
        </w:rPr>
      </w:r>
      <w:r>
        <w:rPr>
          <w:rFonts w:eastAsia="Calibri"/>
          <w:b/>
          <w:iCs/>
        </w:rPr>
      </w:r>
    </w:p>
    <w:p>
      <w:pPr>
        <w:pStyle w:val="995"/>
        <w:pBdr/>
        <w:spacing/>
        <w:ind/>
        <w:rPr>
          <w:rFonts w:eastAsia="Calibri"/>
          <w:b/>
          <w:iCs/>
        </w:rPr>
      </w:pPr>
      <w:r>
        <w:rPr>
          <w:rFonts w:eastAsia="Calibri"/>
          <w:b/>
          <w:iCs/>
        </w:rPr>
      </w:r>
      <w:r>
        <w:rPr>
          <w:rFonts w:eastAsia="Calibri"/>
          <w:b/>
          <w:iCs/>
        </w:rPr>
      </w:r>
      <w:r>
        <w:rPr>
          <w:rFonts w:eastAsia="Calibri"/>
          <w:b/>
          <w:iCs/>
        </w:rPr>
      </w:r>
    </w:p>
    <w:p>
      <w:pPr>
        <w:pStyle w:val="995"/>
        <w:pBdr/>
        <w:spacing/>
        <w:ind/>
        <w:rPr>
          <w:rFonts w:eastAsia="Calibri"/>
          <w:b/>
          <w:iCs/>
        </w:rPr>
      </w:pPr>
      <w:r>
        <w:rPr>
          <w:rFonts w:eastAsia="Calibri"/>
          <w:b/>
          <w:iCs/>
        </w:rPr>
      </w:r>
      <w:r>
        <w:rPr>
          <w:rFonts w:eastAsia="Calibri"/>
          <w:b/>
          <w:iCs/>
        </w:rPr>
      </w:r>
      <w:r>
        <w:rPr>
          <w:rFonts w:eastAsia="Calibri"/>
          <w:b/>
          <w:iCs/>
        </w:rPr>
      </w:r>
    </w:p>
    <w:p>
      <w:pPr>
        <w:pStyle w:val="996"/>
        <w:keepLines w:val="true"/>
        <w:numPr>
          <w:ilvl w:val="0"/>
          <w:numId w:val="0"/>
        </w:numPr>
        <w:pBdr/>
        <w:spacing/>
        <w:ind w:firstLine="0" w:left="360"/>
        <w:jc w:val="center"/>
        <w:rPr>
          <w:rStyle w:val="1054"/>
          <w:b/>
          <w:i w:val="0"/>
          <w:iCs/>
          <w:caps/>
          <w:sz w:val="24"/>
          <w:shd w:val="clear" w:color="auto" w:fill="auto"/>
        </w:rPr>
      </w:pPr>
      <w:r>
        <w:rPr>
          <w:b/>
          <w:i w:val="0"/>
          <w:iCs/>
          <w:caps/>
          <w:sz w:val="24"/>
          <w:shd w:val="clear" w:color="auto" w:fill="auto"/>
        </w:rPr>
      </w:r>
      <w:r>
        <w:br w:type="page" w:clear="all"/>
      </w:r>
      <w:r>
        <w:rPr>
          <w:rStyle w:val="1054"/>
          <w:b/>
          <w:i w:val="0"/>
          <w:iCs/>
          <w:caps/>
          <w:sz w:val="24"/>
          <w:shd w:val="clear" w:color="auto" w:fill="auto"/>
        </w:rPr>
      </w:r>
      <w:r>
        <w:rPr>
          <w:rStyle w:val="1054"/>
          <w:b/>
          <w:i w:val="0"/>
          <w:iCs/>
          <w:caps/>
          <w:sz w:val="24"/>
          <w:shd w:val="clear" w:color="auto" w:fill="auto"/>
        </w:rPr>
      </w:r>
    </w:p>
    <w:p>
      <w:pPr>
        <w:pStyle w:val="996"/>
        <w:numPr>
          <w:ilvl w:val="0"/>
          <w:numId w:val="0"/>
        </w:numPr>
        <w:pBdr/>
        <w:spacing/>
        <w:ind w:firstLine="0" w:left="360"/>
        <w:jc w:val="center"/>
        <w:rPr>
          <w:rStyle w:val="1054"/>
          <w:b/>
          <w:i w:val="0"/>
          <w:iCs/>
          <w:caps/>
          <w:sz w:val="24"/>
          <w:shd w:val="clear" w:color="auto" w:fill="auto"/>
        </w:rPr>
      </w:pPr>
      <w:r/>
      <w:bookmarkStart w:id="41" w:name="__RefHeading___Toc15553_366233758"/>
      <w:r/>
      <w:bookmarkEnd w:id="41"/>
      <w:r>
        <w:rPr>
          <w:iCs/>
          <w:sz w:val="24"/>
        </w:rPr>
        <w:t xml:space="preserve">5. </w:t>
      </w:r>
      <w:bookmarkStart w:id="42" w:name="_Toc51339699"/>
      <w:r/>
      <w:bookmarkStart w:id="43" w:name="_Toc46743519"/>
      <w:r/>
      <w:bookmarkStart w:id="44" w:name="_Toc123118748"/>
      <w:r>
        <w:rPr>
          <w:iCs/>
          <w:sz w:val="24"/>
        </w:rPr>
        <w:t xml:space="preserve">Приложения</w:t>
      </w:r>
      <w:bookmarkEnd w:id="42"/>
      <w:r/>
      <w:bookmarkEnd w:id="43"/>
      <w:r/>
      <w:bookmarkEnd w:id="44"/>
      <w:r>
        <w:rPr>
          <w:rStyle w:val="1054"/>
          <w:b/>
          <w:i w:val="0"/>
          <w:iCs/>
          <w:caps/>
          <w:sz w:val="24"/>
          <w:shd w:val="clear" w:color="auto" w:fill="auto"/>
        </w:rPr>
      </w:r>
      <w:r>
        <w:rPr>
          <w:rStyle w:val="1054"/>
          <w:b/>
          <w:i w:val="0"/>
          <w:iCs/>
          <w:caps/>
          <w:sz w:val="24"/>
          <w:shd w:val="clear" w:color="auto" w:fill="auto"/>
        </w:rPr>
      </w:r>
    </w:p>
    <w:p>
      <w:pPr>
        <w:pStyle w:val="995"/>
        <w:pBdr/>
        <w:spacing w:after="120" w:before="0"/>
        <w:ind/>
        <w:contextualSpacing w:val="true"/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№1: </w:t>
      </w:r>
      <w:r>
        <w:rPr>
          <w:sz w:val="24"/>
          <w:szCs w:val="24"/>
        </w:rPr>
        <w:t xml:space="preserve">Регламент</w:t>
      </w:r>
      <w:r>
        <w:rPr>
          <w:rFonts w:eastAsia="Arial Unicode MS"/>
          <w:sz w:val="24"/>
          <w:szCs w:val="24"/>
        </w:rPr>
        <w:t xml:space="preserve"> допуска подрядных организаций и командированного персонала на объекты АО «Сахаэнерго» ИСМ РГ-00-017.03-23.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pBdr/>
        <w:spacing w:after="120" w:before="0"/>
        <w:ind/>
        <w:contextualSpacing w:val="true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№2: </w:t>
      </w:r>
      <w:r>
        <w:rPr>
          <w:sz w:val="24"/>
          <w:szCs w:val="24"/>
        </w:rPr>
        <w:t xml:space="preserve">Локальный ресурсный сметный расчет</w:t>
      </w:r>
      <w:r>
        <w:rPr>
          <w:bCs/>
          <w:iCs/>
          <w:sz w:val="24"/>
          <w:szCs w:val="24"/>
          <w:lang w:eastAsia="en-US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95"/>
        <w:pBdr/>
        <w:spacing w:after="120" w:before="0"/>
        <w:ind/>
        <w:contextualSpacing w:val="true"/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№3: </w:t>
      </w:r>
      <w:bookmarkStart w:id="45" w:name="_Ref40301253"/>
      <w:r>
        <w:rPr>
          <w:sz w:val="24"/>
          <w:szCs w:val="24"/>
        </w:rPr>
        <w:t xml:space="preserve">Письмо-согласие со сметной документацией Заказчика;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pBdr/>
        <w:spacing w:after="120" w:before="0"/>
        <w:ind/>
        <w:contextualSpacing w:val="true"/>
        <w:rPr>
          <w:sz w:val="24"/>
          <w:szCs w:val="24"/>
        </w:rPr>
      </w:pPr>
      <w:r>
        <w:rPr>
          <w:sz w:val="24"/>
          <w:szCs w:val="24"/>
        </w:rPr>
        <w:t xml:space="preserve">Приложение №4: Перечень передаваемых давальческих МТР.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pBdr/>
        <w:spacing w:after="120" w:before="0"/>
        <w:ind/>
        <w:contextualSpacing w:val="true"/>
        <w:rPr>
          <w:sz w:val="24"/>
          <w:szCs w:val="24"/>
        </w:rPr>
        <w:sectPr>
          <w:headerReference w:type="default" r:id="rId15"/>
          <w:headerReference w:type="even" r:id="rId16"/>
          <w:headerReference w:type="first" r:id="rId17"/>
          <w:footerReference w:type="default" r:id="rId26"/>
          <w:footerReference w:type="first" r:id="rId27"/>
          <w:footnotePr/>
          <w:endnotePr/>
          <w:type w:val="nextPage"/>
          <w:pgSz w:h="16838" w:orient="portrait" w:w="11906"/>
          <w:pgMar w:top="680" w:right="851" w:bottom="1597" w:left="1134" w:header="0" w:footer="992" w:gutter="0"/>
          <w:cols w:num="1" w:sep="0" w:space="1701" w:equalWidth="1"/>
        </w:sectPr>
      </w:pPr>
      <w:r/>
      <w:bookmarkEnd w:id="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№3 к Техническим требованиям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8131" w:type="dxa"/>
        <w:tblInd w:w="10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84"/>
        <w:gridCol w:w="3546"/>
      </w:tblGrid>
      <w:tr>
        <w:trPr>
          <w:trHeight w:val="1999"/>
        </w:trPr>
        <w:tc>
          <w:tcPr>
            <w:tcBorders/>
            <w:tcW w:w="4584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 w:firstLine="0" w:left="851"/>
              <w:rPr/>
            </w:pPr>
            <w:r/>
            <w:r/>
          </w:p>
          <w:p>
            <w:pPr>
              <w:pStyle w:val="995"/>
              <w:widowControl w:val="false"/>
              <w:pBdr/>
              <w:spacing/>
              <w:ind w:firstLine="0" w:left="851"/>
              <w:rPr/>
            </w:pPr>
            <w:r/>
            <w:r/>
          </w:p>
          <w:p>
            <w:pPr>
              <w:pStyle w:val="995"/>
              <w:widowControl w:val="false"/>
              <w:pBdr/>
              <w:spacing/>
              <w:ind/>
              <w:rPr>
                <w:i/>
              </w:rPr>
            </w:pPr>
            <w:r>
              <w:rPr>
                <w:i/>
              </w:rPr>
              <w:t xml:space="preserve">НА ФИРМЕННОМ БЛАНКЕ ПРЕДПРИЯТИЯ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95"/>
              <w:widowControl w:val="false"/>
              <w:pBdr/>
              <w:spacing/>
              <w:ind w:firstLine="709" w:left="8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995"/>
              <w:widowControl w:val="false"/>
              <w:pBdr/>
              <w:spacing/>
              <w:ind w:firstLine="709" w:left="8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995"/>
              <w:widowControl w:val="false"/>
              <w:pBdr/>
              <w:spacing/>
              <w:ind w:firstLine="709" w:left="8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/>
            <w:tcW w:w="3546" w:type="dxa"/>
            <w:textDirection w:val="lrTb"/>
            <w:noWrap w:val="false"/>
          </w:tcPr>
          <w:p>
            <w:pPr>
              <w:pStyle w:val="995"/>
              <w:widowControl w:val="false"/>
              <w:pBdr/>
              <w:spacing/>
              <w:ind w:firstLine="0" w:left="851"/>
              <w:jc w:val="right"/>
              <w:rPr/>
            </w:pPr>
            <w:r/>
            <w:r/>
          </w:p>
        </w:tc>
      </w:tr>
    </w:tbl>
    <w:p>
      <w:pPr>
        <w:pStyle w:val="995"/>
        <w:pBdr/>
        <w:spacing/>
        <w:ind/>
        <w:jc w:val="center"/>
        <w:rPr>
          <w:b/>
        </w:rPr>
      </w:pPr>
      <w:r>
        <w:rPr>
          <w:b/>
        </w:rPr>
        <w:t xml:space="preserve">Письмо-согласие со сметной документацией Заказчика</w:t>
      </w:r>
      <w:r>
        <w:rPr>
          <w:b/>
        </w:rPr>
      </w:r>
      <w:r>
        <w:rPr>
          <w:b/>
        </w:rPr>
      </w:r>
    </w:p>
    <w:p>
      <w:pPr>
        <w:pStyle w:val="995"/>
        <w:pBdr/>
        <w:spacing/>
        <w:ind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995"/>
        <w:pBdr/>
        <w:spacing/>
        <w:ind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995"/>
        <w:pBdr/>
        <w:spacing/>
        <w:ind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_____________________________, в лице ____________________________________________, </w:t>
      </w:r>
      <w:r>
        <w:rPr>
          <w:rFonts w:ascii="Book Antiqua" w:hAnsi="Book Antiqua"/>
          <w:sz w:val="22"/>
          <w:szCs w:val="22"/>
        </w:rPr>
      </w:r>
      <w:r>
        <w:rPr>
          <w:rFonts w:ascii="Book Antiqua" w:hAnsi="Book Antiqua"/>
          <w:sz w:val="22"/>
          <w:szCs w:val="22"/>
        </w:rPr>
      </w:r>
    </w:p>
    <w:p>
      <w:pPr>
        <w:pStyle w:val="995"/>
        <w:pBdr/>
        <w:spacing/>
        <w:ind/>
        <w:rPr>
          <w:rFonts w:ascii="Book Antiqua" w:hAnsi="Book Antiqua"/>
          <w:i/>
          <w:sz w:val="22"/>
          <w:szCs w:val="22"/>
        </w:rPr>
      </w:pPr>
      <w:r>
        <w:rPr>
          <w:rFonts w:ascii="Book Antiqua" w:hAnsi="Book Antiqua"/>
          <w:i/>
          <w:sz w:val="22"/>
          <w:szCs w:val="22"/>
        </w:rPr>
        <w:t xml:space="preserve">           </w:t>
      </w:r>
      <w:r>
        <w:rPr>
          <w:rFonts w:ascii="Book Antiqua" w:hAnsi="Book Antiqua"/>
          <w:i/>
          <w:sz w:val="18"/>
          <w:szCs w:val="22"/>
        </w:rPr>
        <w:t xml:space="preserve">наименование Участника                               </w:t>
      </w:r>
      <w:r>
        <w:rPr>
          <w:i/>
          <w:sz w:val="18"/>
        </w:rPr>
        <w:t xml:space="preserve">должность, фамилия, имя, отчество руководителя</w:t>
      </w:r>
      <w:r>
        <w:rPr>
          <w:rFonts w:ascii="Book Antiqua" w:hAnsi="Book Antiqua"/>
          <w:i/>
          <w:sz w:val="22"/>
          <w:szCs w:val="22"/>
        </w:rPr>
      </w:r>
      <w:r>
        <w:rPr>
          <w:rFonts w:ascii="Book Antiqua" w:hAnsi="Book Antiqua"/>
          <w:i/>
          <w:sz w:val="22"/>
          <w:szCs w:val="22"/>
        </w:rPr>
      </w:r>
    </w:p>
    <w:p>
      <w:pPr>
        <w:pStyle w:val="995"/>
        <w:pBdr/>
        <w:spacing w:line="276" w:lineRule="auto"/>
        <w:ind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настоящим сообщаю о согласии с опубликованной в закупочной документации </w:t>
      </w:r>
      <w:r>
        <w:rPr>
          <w:rFonts w:ascii="Book Antiqua" w:hAnsi="Book Antiqua"/>
          <w:sz w:val="22"/>
          <w:szCs w:val="22"/>
        </w:rPr>
      </w:r>
      <w:r>
        <w:rPr>
          <w:rFonts w:ascii="Book Antiqua" w:hAnsi="Book Antiqua"/>
          <w:sz w:val="22"/>
          <w:szCs w:val="22"/>
        </w:rPr>
      </w:r>
    </w:p>
    <w:p>
      <w:pPr>
        <w:pStyle w:val="995"/>
        <w:pBdr/>
        <w:spacing w:line="276" w:lineRule="auto"/>
        <w:ind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Лота № _____ «__________________________________________________________________» сметной документацией Заказчика, включающей в себя все затраты, необходимые для выполнения работ с применением понижающего коэффициента ___________________</w:t>
      </w:r>
      <w:r>
        <w:rPr>
          <w:rFonts w:ascii="Book Antiqua" w:hAnsi="Book Antiqua"/>
          <w:sz w:val="22"/>
          <w:szCs w:val="22"/>
        </w:rPr>
      </w:r>
      <w:r>
        <w:rPr>
          <w:rFonts w:ascii="Book Antiqua" w:hAnsi="Book Antiqua"/>
          <w:sz w:val="22"/>
          <w:szCs w:val="22"/>
        </w:rPr>
      </w:r>
    </w:p>
    <w:p>
      <w:pPr>
        <w:pStyle w:val="995"/>
        <w:pBdr/>
        <w:spacing/>
        <w:ind/>
        <w:jc w:val="center"/>
        <w:rPr>
          <w:rFonts w:ascii="Book Antiqua" w:hAnsi="Book Antiqua"/>
          <w:i/>
          <w:sz w:val="18"/>
          <w:szCs w:val="22"/>
        </w:rPr>
      </w:pPr>
      <w:r>
        <w:rPr>
          <w:rFonts w:ascii="Book Antiqua" w:hAnsi="Book Antiqua"/>
          <w:i/>
          <w:sz w:val="18"/>
          <w:szCs w:val="22"/>
        </w:rPr>
        <w:t xml:space="preserve">                                                                                                                                    </w:t>
      </w:r>
      <w:r>
        <w:rPr>
          <w:rFonts w:ascii="Book Antiqua" w:hAnsi="Book Antiqua"/>
          <w:i/>
          <w:sz w:val="18"/>
          <w:szCs w:val="22"/>
        </w:rPr>
        <w:t xml:space="preserve">значение коэффициента</w:t>
      </w:r>
      <w:r>
        <w:rPr>
          <w:rFonts w:ascii="Book Antiqua" w:hAnsi="Book Antiqua"/>
          <w:i/>
          <w:sz w:val="18"/>
          <w:szCs w:val="22"/>
        </w:rPr>
      </w:r>
      <w:r>
        <w:rPr>
          <w:rFonts w:ascii="Book Antiqua" w:hAnsi="Book Antiqua"/>
          <w:i/>
          <w:sz w:val="18"/>
          <w:szCs w:val="22"/>
        </w:rPr>
      </w:r>
    </w:p>
    <w:p>
      <w:pPr>
        <w:pStyle w:val="995"/>
        <w:pBdr/>
        <w:spacing w:line="276" w:lineRule="auto"/>
        <w:ind/>
        <w:rPr/>
      </w:pPr>
      <w:r>
        <w:rPr>
          <w:rFonts w:ascii="Book Antiqua" w:hAnsi="Book Antiqua"/>
          <w:sz w:val="22"/>
          <w:szCs w:val="22"/>
        </w:rPr>
        <w:t xml:space="preserve">к общей стоимости или командировочным затратам и/или доставке материалов и/или перебазировке </w:t>
      </w:r>
      <w:r>
        <w:rPr>
          <w:i/>
          <w:iCs/>
          <w:color w:val="0070c0"/>
          <w:sz w:val="26"/>
          <w:szCs w:val="26"/>
          <w:highlight w:val="lightGray"/>
        </w:rPr>
        <w:t xml:space="preserve">[выбрать необходимое]</w:t>
      </w:r>
      <w:r/>
    </w:p>
    <w:p>
      <w:pPr>
        <w:pStyle w:val="995"/>
        <w:pBdr/>
        <w:spacing/>
        <w:ind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</w:r>
      <w:r>
        <w:rPr>
          <w:rFonts w:ascii="Book Antiqua" w:hAnsi="Book Antiqua"/>
          <w:sz w:val="22"/>
          <w:szCs w:val="22"/>
        </w:rPr>
      </w:r>
      <w:r>
        <w:rPr>
          <w:rFonts w:ascii="Book Antiqua" w:hAnsi="Book Antiqua"/>
          <w:sz w:val="22"/>
          <w:szCs w:val="22"/>
        </w:rPr>
      </w:r>
    </w:p>
    <w:p>
      <w:pPr>
        <w:pStyle w:val="995"/>
        <w:pBdr/>
        <w:spacing/>
        <w:ind/>
        <w:rPr/>
      </w:pPr>
      <w:r>
        <w:t xml:space="preserve">___________________________                             _______________                    ____________________________</w:t>
      </w:r>
      <w:r/>
    </w:p>
    <w:p>
      <w:pPr>
        <w:pStyle w:val="995"/>
        <w:pBdr/>
        <w:spacing/>
        <w:ind/>
        <w:rPr>
          <w:i/>
        </w:rPr>
      </w:pPr>
      <w:r>
        <w:rPr>
          <w:i/>
        </w:rPr>
        <w:t xml:space="preserve">               </w:t>
      </w:r>
      <w:r>
        <w:rPr>
          <w:i/>
        </w:rPr>
        <w:t xml:space="preserve">должность                                                          подпись                                                    Ф.И.О.</w:t>
      </w:r>
      <w:r>
        <w:rPr>
          <w:i/>
        </w:rPr>
      </w:r>
      <w:r>
        <w:rPr>
          <w:i/>
        </w:rPr>
      </w:r>
    </w:p>
    <w:p>
      <w:pPr>
        <w:pStyle w:val="995"/>
        <w:pBdr/>
        <w:spacing/>
        <w:ind/>
        <w:rPr/>
      </w:pPr>
      <w:r/>
      <w:r/>
    </w:p>
    <w:p>
      <w:pPr>
        <w:pStyle w:val="995"/>
        <w:pBdr/>
        <w:spacing/>
        <w:ind/>
        <w:rPr/>
      </w:pPr>
      <w:r>
        <w:t xml:space="preserve">М.П.</w:t>
      </w:r>
      <w:r/>
    </w:p>
    <w:p>
      <w:pPr>
        <w:pStyle w:val="995"/>
        <w:pBdr/>
        <w:spacing/>
        <w:ind/>
        <w:jc w:val="right"/>
        <w:rPr>
          <w:rFonts w:eastAsia="Calibri" w:eastAsiaTheme="minorHAnsi"/>
          <w:sz w:val="24"/>
          <w:szCs w:val="24"/>
          <w:lang w:eastAsia="en-US"/>
        </w:rPr>
      </w:pPr>
      <w:r>
        <w:rPr>
          <w:rFonts w:eastAsia="Calibri" w:eastAsiaTheme="minorHAnsi"/>
          <w:sz w:val="24"/>
          <w:szCs w:val="24"/>
          <w:lang w:eastAsia="en-US"/>
        </w:rPr>
      </w:r>
      <w:r>
        <w:rPr>
          <w:rFonts w:eastAsia="Calibri" w:eastAsiaTheme="minorHAnsi"/>
          <w:sz w:val="24"/>
          <w:szCs w:val="24"/>
          <w:lang w:eastAsia="en-US"/>
        </w:rPr>
      </w:r>
      <w:r>
        <w:rPr>
          <w:rFonts w:eastAsia="Calibri" w:eastAsiaTheme="minorHAnsi"/>
          <w:sz w:val="24"/>
          <w:szCs w:val="24"/>
          <w:lang w:eastAsia="en-US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spacing/>
        <w:ind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№4 к Техническим требованиям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5"/>
        <w:pBdr/>
        <w:tabs>
          <w:tab w:val="clear" w:leader="none" w:pos="708"/>
          <w:tab w:val="left" w:leader="none" w:pos="4414"/>
        </w:tabs>
        <w:spacing/>
        <w:ind/>
        <w:rPr/>
      </w:pPr>
      <w:r/>
      <w:r/>
    </w:p>
    <w:p>
      <w:pPr>
        <w:pStyle w:val="995"/>
        <w:pBdr/>
        <w:spacing/>
        <w:ind w:firstLine="9" w:left="72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Перечень передаваемых Давальческих материалов и запасных частей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pBdr/>
        <w:spacing/>
        <w:ind w:firstLine="9" w:left="720"/>
        <w:jc w:val="center"/>
        <w:rPr>
          <w:bCs/>
          <w:sz w:val="23"/>
          <w:szCs w:val="23"/>
        </w:rPr>
      </w:pPr>
      <w:r>
        <w:rPr>
          <w:bCs/>
          <w:i/>
          <w:iCs/>
          <w:sz w:val="24"/>
          <w:szCs w:val="24"/>
          <w:shd w:val="clear" w:color="auto" w:fill="ffff99"/>
          <w:lang w:val="en-US"/>
        </w:rPr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tbl>
      <w:tblPr>
        <w:tblStyle w:val="1257"/>
        <w:tblW w:w="0" w:type="auto"/>
        <w:tblBorders/>
        <w:tblLook w:val="04A0" w:firstRow="1" w:lastRow="0" w:firstColumn="1" w:lastColumn="0" w:noHBand="0" w:noVBand="1"/>
      </w:tblPr>
      <w:tblGrid>
        <w:gridCol w:w="870"/>
        <w:gridCol w:w="5670"/>
        <w:gridCol w:w="2250"/>
        <w:gridCol w:w="1770"/>
      </w:tblGrid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№ п/п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Наименование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Единица измерения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Количество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ПГС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Песок строительный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Брусок 50*50мм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0,17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Доска обрезная 40*150*6000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1,7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Саморез по дереву 4,2*70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Арматура 8 A-III 4 ряда по 2шт, м=0,395кг(м)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2200/0,869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Вязальная проволока 1,6мм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Портландцемент ЦЕМ I 32,5Б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Лист ст. 5мм рифленый чечевица (40,5кг)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м2/тн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18/0,730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Труба стальная квадратная 100*100*4мм (11,84кг)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24/0,284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Уголок 50*50*5мм (3,77кг)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216/0,815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Труба профильная 80*80*4мм (9,33кг)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24/0,224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Швеллер16П (14,2кг)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36/0,511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Швеллер 12П (10,4кг)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60/0,624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Профнастил НС-35 (6,4кг)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м2/тн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78/0,500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Уголок 40*40*4мм (2,42кг/м)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48/0,116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Полоса стальная 5*50мм (1,963кг)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42/0,083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left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Труба профильная 60*60*4мм (6,82кг)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м/тн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24/0,164</w:t>
            </w:r>
            <w:r/>
          </w:p>
        </w:tc>
      </w:tr>
    </w:tbl>
    <w:p>
      <w:pPr>
        <w:pStyle w:val="995"/>
        <w:pBdr/>
        <w:spacing/>
        <w:ind/>
        <w:rPr>
          <w:bCs/>
          <w:i/>
          <w:iCs/>
          <w:sz w:val="24"/>
          <w:szCs w:val="24"/>
          <w:shd w:val="clear" w:color="auto" w:fill="ffff99"/>
          <w:lang w:val="en-US"/>
        </w:rPr>
      </w:pPr>
      <w:r>
        <w:rPr>
          <w:bCs/>
          <w:i/>
          <w:iCs/>
          <w:sz w:val="24"/>
          <w:szCs w:val="24"/>
          <w:shd w:val="clear" w:color="auto" w:fill="ffff99"/>
          <w:lang w:val="en-US"/>
        </w:rPr>
      </w:r>
      <w:r>
        <w:rPr>
          <w:bCs/>
          <w:i/>
          <w:iCs/>
          <w:sz w:val="24"/>
          <w:szCs w:val="24"/>
          <w:shd w:val="clear" w:color="auto" w:fill="ffff99"/>
          <w:lang w:val="en-US"/>
        </w:rPr>
      </w:r>
      <w:r>
        <w:rPr>
          <w:bCs/>
          <w:i/>
          <w:iCs/>
          <w:sz w:val="24"/>
          <w:szCs w:val="24"/>
          <w:shd w:val="clear" w:color="auto" w:fill="ffff99"/>
          <w:lang w:val="en-US"/>
        </w:rPr>
      </w:r>
    </w:p>
    <w:p>
      <w:pPr>
        <w:pStyle w:val="995"/>
        <w:pBdr/>
        <w:spacing w:after="120" w:before="0"/>
        <w:ind/>
        <w:contextualSpacing w:val="true"/>
        <w:rPr>
          <w:bCs/>
          <w:i/>
          <w:iCs/>
          <w:sz w:val="24"/>
          <w:szCs w:val="24"/>
          <w:shd w:val="clear" w:color="auto" w:fill="ffff99"/>
        </w:rPr>
      </w:pP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</w:p>
    <w:sectPr>
      <w:headerReference w:type="default" r:id="rId18"/>
      <w:headerReference w:type="first" r:id="rId19"/>
      <w:footerReference w:type="default" r:id="rId28"/>
      <w:footerReference w:type="first" r:id="rId29"/>
      <w:footnotePr/>
      <w:endnotePr/>
      <w:type w:val="nextPage"/>
      <w:pgSz w:h="16838" w:orient="portrait" w:w="11906"/>
      <w:pgMar w:top="1134" w:right="851" w:bottom="992" w:left="1134" w:header="680" w:footer="0" w:gutter="0"/>
      <w:cols w:num="1" w:sep="0" w:space="1701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Garamond">
    <w:panose1 w:val="02020603050405020304"/>
  </w:font>
  <w:font w:name="Lucida Sans Unicode">
    <w:panose1 w:val="020B0603030804020204"/>
  </w:font>
  <w:font w:name="Verdana">
    <w:panose1 w:val="020B0604030504040204"/>
  </w:font>
  <w:font w:name="Calibri Light (Заголовки)">
    <w:panose1 w:val="020F0502020204030204"/>
  </w:font>
  <w:font w:name="Wingdings">
    <w:panose1 w:val="05010000000000000000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  <w:font w:name="Book Antiqua">
    <w:panose1 w:val="02040502050405020303"/>
  </w:font>
  <w:font w:name="Tahoma">
    <w:panose1 w:val="020B0604030504040204"/>
  </w:font>
  <w:font w:name="Courier New">
    <w:panose1 w:val="02070309020205020404"/>
  </w:font>
  <w:font w:name="Lohit Devanagari">
    <w:panose1 w:val="020B0600000000000000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8"/>
      <w:pBdr/>
      <w:spacing/>
      <w:ind/>
      <w:rPr/>
    </w:pP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5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8"/>
      <w:pBdr/>
      <w:spacing/>
      <w:ind/>
      <w:rPr/>
    </w:pPr>
    <w:r>
      <w:fldChar w:fldCharType="begin"/>
    </w:r>
    <w:r>
      <w:instrText xml:space="preserve"> PAGE </w:instrText>
    </w:r>
    <w:r>
      <w:fldChar w:fldCharType="separate"/>
    </w:r>
    <w:r>
      <w:t xml:space="preserve">1</w:t>
    </w:r>
    <w:r>
      <w:fldChar w:fldCharType="end"/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5"/>
      <w:pBdr/>
      <w:spacing/>
      <w:ind/>
      <w:rPr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5"/>
      <w:pBdr/>
      <w:spacing/>
      <w:ind/>
      <w:rPr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5"/>
      <w:pBdr/>
      <w:spacing/>
      <w:ind/>
      <w:rPr/>
    </w:pPr>
    <w:r>
      <w:fldChar w:fldCharType="begin"/>
    </w:r>
    <w:r>
      <w:instrText xml:space="preserve"> PAGE </w:instrText>
    </w:r>
    <w:r>
      <w:fldChar w:fldCharType="separate"/>
    </w:r>
    <w:r>
      <w:t xml:space="preserve">18</w:t>
    </w:r>
    <w:r>
      <w:fldChar w:fldCharType="end"/>
    </w:r>
    <w:r/>
  </w:p>
  <w:p>
    <w:pPr>
      <w:pStyle w:val="995"/>
      <w:pBdr/>
      <w:spacing/>
      <w:ind/>
      <w:rPr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8"/>
      <w:pBdr/>
      <w:spacing/>
      <w:ind/>
      <w:rPr/>
    </w:pP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5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6"/>
      <w:pBdr/>
      <w:spacing/>
      <w:ind/>
      <w:rPr/>
    </w:pPr>
    <w:r/>
    <w:r/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6"/>
      <w:pBdr/>
      <w:spacing/>
      <w:ind/>
      <w:jc w:val="center"/>
      <w:rPr/>
    </w:pPr>
    <w:r>
      <w:fldChar w:fldCharType="begin"/>
    </w:r>
    <w:r>
      <w:instrText xml:space="preserve"> PAGE </w:instrText>
    </w:r>
    <w:r>
      <w:fldChar w:fldCharType="separate"/>
    </w:r>
    <w:r>
      <w:t xml:space="preserve">22</w:t>
    </w:r>
    <w:r>
      <w:fldChar w:fldCharType="end"/>
    </w:r>
    <w:r/>
  </w:p>
  <w:p>
    <w:pPr>
      <w:pStyle w:val="1076"/>
      <w:pBdr/>
      <w:spacing/>
      <w:ind/>
      <w:jc w:val="center"/>
      <w:rPr/>
    </w:pPr>
    <w:r/>
    <w:r/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5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6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1076"/>
                            <w:pBdr/>
                            <w:spacing/>
                            <w:ind/>
                            <w:rPr>
                              <w:rStyle w:val="1026"/>
                            </w:rPr>
                          </w:pPr>
                          <w:r>
                            <w:rPr>
                              <w:rStyle w:val="1026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1026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1026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1026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1026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1026"/>
                            </w:rPr>
                          </w:r>
                          <w:r>
                            <w:rPr>
                              <w:rStyle w:val="1026"/>
                            </w:rPr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3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1076"/>
                      <w:pBdr/>
                      <w:spacing/>
                      <w:ind/>
                      <w:rPr>
                        <w:rStyle w:val="1026"/>
                      </w:rPr>
                    </w:pPr>
                    <w:r>
                      <w:rPr>
                        <w:rStyle w:val="1026"/>
                        <w:color w:val="000000"/>
                      </w:rPr>
                      <w:fldChar w:fldCharType="begin"/>
                    </w:r>
                    <w:r>
                      <w:rPr>
                        <w:rStyle w:val="1026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1026"/>
                        <w:color w:val="000000"/>
                      </w:rPr>
                      <w:fldChar w:fldCharType="separate"/>
                    </w:r>
                    <w:r>
                      <w:rPr>
                        <w:rStyle w:val="1026"/>
                        <w:color w:val="000000"/>
                      </w:rPr>
                      <w:t xml:space="preserve">0</w:t>
                    </w:r>
                    <w:r>
                      <w:rPr>
                        <w:rStyle w:val="1026"/>
                        <w:color w:val="000000"/>
                      </w:rPr>
                      <w:fldChar w:fldCharType="end"/>
                    </w:r>
                    <w:r>
                      <w:rPr>
                        <w:rStyle w:val="1026"/>
                      </w:rPr>
                    </w:r>
                    <w:r>
                      <w:rPr>
                        <w:rStyle w:val="1026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6"/>
      <w:pBdr/>
      <w:spacing/>
      <w:ind/>
      <w:jc w:val="center"/>
      <w:rPr/>
    </w:pPr>
    <w:r>
      <w:fldChar w:fldCharType="begin"/>
    </w:r>
    <w:r>
      <w:instrText xml:space="preserve"> PAGE </w:instrText>
    </w:r>
    <w:r>
      <w:fldChar w:fldCharType="separate"/>
    </w:r>
    <w:r>
      <w:t xml:space="preserve">8</w:t>
    </w:r>
    <w:r>
      <w:fldChar w:fldCharType="end"/>
    </w:r>
    <w:r/>
  </w:p>
  <w:p>
    <w:pPr>
      <w:pStyle w:val="1076"/>
      <w:pBdr/>
      <w:spacing/>
      <w:ind/>
      <w:jc w:val="center"/>
      <w:rPr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6"/>
      <w:pBdr/>
      <w:spacing/>
      <w:ind/>
      <w:jc w:val="center"/>
      <w:rPr/>
    </w:pPr>
    <w:r>
      <w:fldChar w:fldCharType="begin"/>
    </w:r>
    <w:r>
      <w:instrText xml:space="preserve"> PAGE </w:instrText>
    </w:r>
    <w:r>
      <w:fldChar w:fldCharType="separate"/>
    </w:r>
    <w:r>
      <w:t xml:space="preserve">7</w:t>
    </w:r>
    <w:r>
      <w:fldChar w:fldCharType="end"/>
    </w:r>
    <w:r/>
  </w:p>
  <w:p>
    <w:pPr>
      <w:pStyle w:val="1076"/>
      <w:pBdr/>
      <w:spacing/>
      <w:ind/>
      <w:jc w:val="center"/>
      <w:rPr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5"/>
      <w:pBdr/>
      <w:spacing/>
      <w:ind/>
      <w:rPr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6"/>
      <w:pBdr/>
      <w:spacing/>
      <w:ind/>
      <w:rPr/>
    </w:pPr>
    <w:r/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6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1076"/>
                            <w:pBdr/>
                            <w:spacing/>
                            <w:ind/>
                            <w:rPr>
                              <w:rStyle w:val="1026"/>
                            </w:rPr>
                          </w:pPr>
                          <w:r>
                            <w:rPr>
                              <w:rStyle w:val="1026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1026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1026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1026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1026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1026"/>
                            </w:rPr>
                          </w:r>
                          <w:r>
                            <w:rPr>
                              <w:rStyle w:val="1026"/>
                            </w:rPr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1" type="#_x0000_t1" style="position:absolute;z-index:-3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1076"/>
                      <w:pBdr/>
                      <w:spacing/>
                      <w:ind/>
                      <w:rPr>
                        <w:rStyle w:val="1026"/>
                      </w:rPr>
                    </w:pPr>
                    <w:r>
                      <w:rPr>
                        <w:rStyle w:val="1026"/>
                        <w:color w:val="000000"/>
                      </w:rPr>
                      <w:fldChar w:fldCharType="begin"/>
                    </w:r>
                    <w:r>
                      <w:rPr>
                        <w:rStyle w:val="1026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1026"/>
                        <w:color w:val="000000"/>
                      </w:rPr>
                      <w:fldChar w:fldCharType="separate"/>
                    </w:r>
                    <w:r>
                      <w:rPr>
                        <w:rStyle w:val="1026"/>
                        <w:color w:val="000000"/>
                      </w:rPr>
                      <w:t xml:space="preserve">0</w:t>
                    </w:r>
                    <w:r>
                      <w:rPr>
                        <w:rStyle w:val="1026"/>
                        <w:color w:val="000000"/>
                      </w:rPr>
                      <w:fldChar w:fldCharType="end"/>
                    </w:r>
                    <w:r>
                      <w:rPr>
                        <w:rStyle w:val="1026"/>
                      </w:rPr>
                    </w:r>
                    <w:r>
                      <w:rPr>
                        <w:rStyle w:val="1026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6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1072"/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57"/>
        </w:tabs>
        <w:spacing/>
        <w:ind w:firstLine="0" w:left="0"/>
      </w:pPr>
      <w:pStyle w:val="1073"/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357"/>
        </w:tabs>
        <w:spacing/>
        <w:ind w:firstLine="0" w:left="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57"/>
        </w:tabs>
        <w:spacing/>
        <w:ind w:firstLine="0" w:left="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firstLine="0" w:left="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57"/>
        </w:tabs>
        <w:spacing/>
        <w:ind w:firstLine="0" w:left="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7"/>
        </w:tabs>
        <w:spacing/>
        <w:ind w:firstLine="0" w:left="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57"/>
        </w:tabs>
        <w:spacing/>
        <w:ind w:firstLine="0" w:left="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357"/>
        </w:tabs>
        <w:spacing/>
        <w:ind w:firstLine="0" w:left="0"/>
      </w:pPr>
      <w:rPr/>
      <w:start w:val="1"/>
      <w:suff w:val="tab"/>
    </w:lvl>
  </w:abstractNum>
  <w:abstractNum w:abstractNumId="1">
    <w:lvl w:ilvl="0">
      <w:isLgl w:val="false"/>
      <w:lvlJc w:val="left"/>
      <w:lvlText w:val="-"/>
      <w:numFmt w:val="bullet"/>
      <w:pPr>
        <w:pBdr/>
        <w:tabs>
          <w:tab w:val="num" w:leader="none" w:pos="0"/>
        </w:tabs>
        <w:spacing/>
        <w:ind w:hanging="360" w:left="-207"/>
      </w:pPr>
      <w:pStyle w:val="1107"/>
      <w:rPr>
        <w:rFonts w:hint="default" w:ascii="Times New Roman" w:hAnsi="Times New Roman" w:cs="Times New Roman"/>
      </w:rPr>
      <w:start w:val="4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513"/>
        </w:tabs>
        <w:spacing/>
        <w:ind w:hanging="360" w:left="513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1233"/>
        </w:tabs>
        <w:spacing/>
        <w:ind w:hanging="360" w:left="1233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1953"/>
        </w:tabs>
        <w:spacing/>
        <w:ind w:hanging="360" w:left="1953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2673"/>
        </w:tabs>
        <w:spacing/>
        <w:ind w:hanging="360" w:left="2673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3393"/>
        </w:tabs>
        <w:spacing/>
        <w:ind w:hanging="360" w:left="3393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4113"/>
        </w:tabs>
        <w:spacing/>
        <w:ind w:hanging="360" w:left="4113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4833"/>
        </w:tabs>
        <w:spacing/>
        <w:ind w:hanging="360" w:left="4833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5553"/>
        </w:tabs>
        <w:spacing/>
        <w:ind w:hanging="360" w:left="5553"/>
      </w:pPr>
      <w:rPr>
        <w:rFonts w:hint="default" w:ascii="Wingdings" w:hAnsi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5038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432"/>
      </w:pPr>
      <w:rPr>
        <w:b/>
        <w:bCs/>
        <w:i w:val="0"/>
        <w:iCs/>
        <w:sz w:val="24"/>
        <w:szCs w:val="24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1224"/>
      </w:pPr>
      <w:pStyle w:val="998"/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1134" w:left="1134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1134" w:left="113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1134" w:left="1134"/>
      </w:pPr>
      <w:rPr/>
      <w:start w:val="1"/>
      <w:suff w:val="tab"/>
    </w:lvl>
    <w:lvl w:ilvl="3">
      <w:isLgl w:val="false"/>
      <w:lvlJc w:val="left"/>
      <w:lvlText w:val="(%4)"/>
      <w:numFmt w:val="russianLower"/>
      <w:pPr>
        <w:pBdr/>
        <w:tabs>
          <w:tab w:val="num" w:leader="none" w:pos="0"/>
        </w:tabs>
        <w:spacing/>
        <w:ind w:hanging="567" w:left="1985"/>
      </w:pPr>
      <w:pStyle w:val="1114"/>
      <w:rPr/>
      <w:start w:val="1"/>
      <w:suff w:val="tab"/>
    </w:lvl>
    <w:lvl w:ilvl="4">
      <w:isLgl w:val="false"/>
      <w:lvlJc w:val="left"/>
      <w:lvlText w:val="–"/>
      <w:numFmt w:val="bullet"/>
      <w:pPr>
        <w:pBdr/>
        <w:tabs>
          <w:tab w:val="num" w:leader="none" w:pos="0"/>
        </w:tabs>
        <w:spacing/>
        <w:ind w:hanging="567" w:left="2268"/>
      </w:pPr>
      <w:pStyle w:val="1115"/>
      <w:rPr>
        <w:rFonts w:hint="default" w:ascii="Times New Roman" w:hAnsi="Times New Roman" w:cs="Times New Roman"/>
      </w:rPr>
      <w:start w:val="1"/>
      <w:suff w:val="tab"/>
    </w:lvl>
    <w:lvl w:ilvl="5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1134"/>
      </w:pPr>
      <w:pStyle w:val="1116"/>
      <w:rPr/>
      <w:start w:val="1"/>
      <w:suff w:val="nothing"/>
    </w:lvl>
    <w:lvl w:ilvl="6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1701"/>
      </w:pPr>
      <w:rPr/>
      <w:start w:val="1"/>
      <w:suff w:val="nothing"/>
    </w:lvl>
    <w:lvl w:ilvl="7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1134"/>
      </w:pPr>
      <w:rPr/>
      <w:start w:val="1"/>
      <w:suff w:val="nothing"/>
    </w:lvl>
  </w:abstractNum>
  <w:abstractNum w:abstractNumId="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>
        <w:b/>
        <w:bCs w:val="0"/>
        <w:sz w:val="24"/>
        <w:szCs w:val="24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792"/>
      </w:pPr>
      <w:rPr>
        <w:b w:val="0"/>
        <w:bCs/>
        <w:sz w:val="24"/>
        <w:szCs w:val="24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1224"/>
      </w:pPr>
      <w:rPr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792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6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792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7">
    <w:lvl w:ilvl="0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783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503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223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943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63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83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103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823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543"/>
      </w:pPr>
      <w:rPr>
        <w:rFonts w:hint="default" w:ascii="Wingdings" w:hAnsi="Wingdings" w:cs="Wingdings"/>
      </w:rPr>
      <w:start w:val="1"/>
      <w:suff w:val="tab"/>
    </w:lvl>
  </w:abstractNum>
  <w:abstractNum w:abstractNumId="8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792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9">
    <w:lvl w:ilvl="0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Lohit Devanagari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95" w:default="1">
    <w:name w:val="Normal"/>
    <w:qFormat/>
    <w:pPr>
      <w:widowControl w:val="true"/>
      <w:pBdr/>
      <w:bidi w:val="false"/>
      <w:spacing w:after="0" w:before="0"/>
      <w:ind/>
      <w:jc w:val="left"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996">
    <w:name w:val="Heading 1"/>
    <w:basedOn w:val="998"/>
    <w:next w:val="995"/>
    <w:link w:val="1033"/>
    <w:uiPriority w:val="9"/>
    <w:qFormat/>
    <w:pPr>
      <w:pBdr/>
      <w:spacing/>
      <w:ind/>
      <w:outlineLvl w:val="0"/>
    </w:pPr>
    <w:rPr>
      <w:sz w:val="28"/>
      <w:szCs w:val="28"/>
    </w:rPr>
  </w:style>
  <w:style w:type="paragraph" w:styleId="997">
    <w:name w:val="Heading 2"/>
    <w:basedOn w:val="999"/>
    <w:next w:val="995"/>
    <w:link w:val="1034"/>
    <w:qFormat/>
    <w:pPr>
      <w:pBdr/>
      <w:spacing/>
      <w:ind/>
      <w:outlineLvl w:val="1"/>
    </w:pPr>
  </w:style>
  <w:style w:type="paragraph" w:styleId="998">
    <w:name w:val="Heading 3"/>
    <w:basedOn w:val="995"/>
    <w:next w:val="995"/>
    <w:link w:val="1035"/>
    <w:qFormat/>
    <w:pPr>
      <w:keepNext w:val="true"/>
      <w:numPr>
        <w:ilvl w:val="2"/>
        <w:numId w:val="3"/>
      </w:numPr>
      <w:pBdr/>
      <w:spacing w:after="60" w:before="120"/>
      <w:ind/>
      <w:outlineLvl w:val="2"/>
    </w:pPr>
    <w:rPr>
      <w:rFonts w:eastAsia="Calibri"/>
      <w:b/>
      <w:sz w:val="24"/>
      <w:szCs w:val="24"/>
    </w:rPr>
  </w:style>
  <w:style w:type="paragraph" w:styleId="999">
    <w:name w:val="Heading 4"/>
    <w:basedOn w:val="998"/>
    <w:next w:val="995"/>
    <w:link w:val="1036"/>
    <w:qFormat/>
    <w:pPr>
      <w:pBdr/>
      <w:spacing/>
      <w:ind/>
      <w:outlineLvl w:val="3"/>
    </w:pPr>
    <w:rPr>
      <w:bCs/>
    </w:rPr>
  </w:style>
  <w:style w:type="paragraph" w:styleId="1000">
    <w:name w:val="Heading 5"/>
    <w:basedOn w:val="995"/>
    <w:next w:val="995"/>
    <w:link w:val="1037"/>
    <w:uiPriority w:val="9"/>
    <w:qFormat/>
    <w:pPr>
      <w:pBdr/>
      <w:spacing w:after="60" w:before="240"/>
      <w:ind/>
      <w:outlineLvl w:val="4"/>
    </w:pPr>
    <w:rPr>
      <w:b/>
      <w:bCs/>
      <w:i/>
      <w:iCs/>
      <w:sz w:val="26"/>
      <w:szCs w:val="26"/>
    </w:rPr>
  </w:style>
  <w:style w:type="paragraph" w:styleId="1001">
    <w:name w:val="Heading 6"/>
    <w:basedOn w:val="995"/>
    <w:next w:val="995"/>
    <w:link w:val="1030"/>
    <w:uiPriority w:val="9"/>
    <w:qFormat/>
    <w:pPr>
      <w:keepNext w:val="true"/>
      <w:keepLines w:val="true"/>
      <w:pBdr/>
      <w:spacing w:after="0" w:before="200"/>
      <w:ind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1002">
    <w:name w:val="Heading 7"/>
    <w:basedOn w:val="995"/>
    <w:next w:val="995"/>
    <w:link w:val="1031"/>
    <w:uiPriority w:val="9"/>
    <w:qFormat/>
    <w:pPr>
      <w:keepNext w:val="true"/>
      <w:keepLines w:val="true"/>
      <w:pBdr/>
      <w:spacing w:after="0" w:before="200"/>
      <w:ind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1003">
    <w:name w:val="Heading 8"/>
    <w:basedOn w:val="995"/>
    <w:next w:val="995"/>
    <w:link w:val="1032"/>
    <w:uiPriority w:val="9"/>
    <w:qFormat/>
    <w:pPr>
      <w:keepNext w:val="true"/>
      <w:keepLines w:val="true"/>
      <w:pBdr/>
      <w:spacing w:after="0" w:before="200"/>
      <w:ind/>
      <w:outlineLvl w:val="7"/>
    </w:pPr>
    <w:rPr>
      <w:rFonts w:ascii="Cambria" w:hAnsi="Cambria"/>
      <w:color w:val="4f81bd"/>
      <w:sz w:val="20"/>
      <w:szCs w:val="20"/>
    </w:rPr>
  </w:style>
  <w:style w:type="paragraph" w:styleId="1004">
    <w:name w:val="Heading 9"/>
    <w:basedOn w:val="995"/>
    <w:next w:val="995"/>
    <w:link w:val="1038"/>
    <w:uiPriority w:val="9"/>
    <w:qFormat/>
    <w:pPr>
      <w:pBdr/>
      <w:spacing w:after="60" w:before="240"/>
      <w:ind/>
      <w:outlineLvl w:val="8"/>
    </w:pPr>
    <w:rPr>
      <w:rFonts w:ascii="Arial" w:hAnsi="Arial"/>
      <w:sz w:val="22"/>
      <w:szCs w:val="22"/>
    </w:rPr>
  </w:style>
  <w:style w:type="character" w:styleId="1005">
    <w:name w:val="Heading 1 Char"/>
    <w:basedOn w:val="1023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06">
    <w:name w:val="Heading 2 Char"/>
    <w:basedOn w:val="1023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07">
    <w:name w:val="Heading 3 Char"/>
    <w:basedOn w:val="1023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08">
    <w:name w:val="Heading 4 Char"/>
    <w:basedOn w:val="1023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09">
    <w:name w:val="Heading 5 Char"/>
    <w:basedOn w:val="1023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10">
    <w:name w:val="Heading 6 Char"/>
    <w:basedOn w:val="1023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11">
    <w:name w:val="Heading 7 Char"/>
    <w:basedOn w:val="1023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12">
    <w:name w:val="Heading 8 Char"/>
    <w:basedOn w:val="1023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13">
    <w:name w:val="Heading 9 Char"/>
    <w:basedOn w:val="1023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14">
    <w:name w:val="Title Char"/>
    <w:basedOn w:val="1023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015">
    <w:name w:val="Subtitle Char"/>
    <w:basedOn w:val="1023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16">
    <w:name w:val="Quote Char"/>
    <w:basedOn w:val="1023"/>
    <w:link w:val="1101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1017">
    <w:name w:val="Intense Quote Char"/>
    <w:basedOn w:val="1023"/>
    <w:link w:val="1102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1018">
    <w:name w:val="Header Char"/>
    <w:basedOn w:val="1023"/>
    <w:uiPriority w:val="99"/>
    <w:qFormat/>
    <w:pPr>
      <w:pBdr/>
      <w:spacing/>
      <w:ind/>
    </w:pPr>
  </w:style>
  <w:style w:type="character" w:styleId="1019">
    <w:name w:val="Footer Char"/>
    <w:basedOn w:val="1023"/>
    <w:uiPriority w:val="99"/>
    <w:qFormat/>
    <w:pPr>
      <w:pBdr/>
      <w:spacing/>
      <w:ind/>
    </w:pPr>
  </w:style>
  <w:style w:type="character" w:styleId="1020">
    <w:name w:val="Footnote Text Char"/>
    <w:basedOn w:val="1023"/>
    <w:uiPriority w:val="99"/>
    <w:semiHidden/>
    <w:qFormat/>
    <w:pPr>
      <w:pBdr/>
      <w:spacing/>
      <w:ind/>
    </w:pPr>
    <w:rPr>
      <w:sz w:val="20"/>
      <w:szCs w:val="20"/>
    </w:rPr>
  </w:style>
  <w:style w:type="character" w:styleId="1021">
    <w:name w:val="Endnote Text Char"/>
    <w:basedOn w:val="1023"/>
    <w:uiPriority w:val="99"/>
    <w:semiHidden/>
    <w:qFormat/>
    <w:pPr>
      <w:pBdr/>
      <w:spacing/>
      <w:ind/>
    </w:pPr>
    <w:rPr>
      <w:sz w:val="20"/>
      <w:szCs w:val="20"/>
    </w:rPr>
  </w:style>
  <w:style w:type="character" w:styleId="1022">
    <w:name w:val="FollowedHyperlink"/>
    <w:basedOn w:val="102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023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1024">
    <w:name w:val="Символ сноски"/>
    <w:qFormat/>
    <w:pPr>
      <w:pBdr/>
      <w:spacing/>
      <w:ind/>
    </w:pPr>
    <w:rPr>
      <w:vertAlign w:val="superscript"/>
    </w:rPr>
  </w:style>
  <w:style w:type="character" w:styleId="1025">
    <w:name w:val="footnote reference"/>
    <w:pPr>
      <w:pBdr/>
      <w:spacing/>
      <w:ind/>
    </w:pPr>
    <w:rPr>
      <w:vertAlign w:val="superscript"/>
    </w:rPr>
  </w:style>
  <w:style w:type="character" w:styleId="1026">
    <w:name w:val="page number"/>
    <w:basedOn w:val="1023"/>
    <w:qFormat/>
    <w:pPr>
      <w:pBdr/>
      <w:spacing/>
      <w:ind/>
    </w:pPr>
  </w:style>
  <w:style w:type="character" w:styleId="1027">
    <w:name w:val="Hyperlink"/>
    <w:uiPriority w:val="99"/>
    <w:pPr>
      <w:pBdr/>
      <w:spacing/>
      <w:ind/>
    </w:pPr>
    <w:rPr>
      <w:color w:val="0000ff"/>
      <w:u w:val="single"/>
    </w:rPr>
  </w:style>
  <w:style w:type="character" w:styleId="1028">
    <w:name w:val="annotation reference"/>
    <w:uiPriority w:val="99"/>
    <w:semiHidden/>
    <w:qFormat/>
    <w:pPr>
      <w:pBdr/>
      <w:spacing/>
      <w:ind/>
    </w:pPr>
    <w:rPr>
      <w:sz w:val="16"/>
      <w:szCs w:val="16"/>
    </w:rPr>
  </w:style>
  <w:style w:type="character" w:styleId="1029">
    <w:name w:val="Strong"/>
    <w:qFormat/>
    <w:pPr>
      <w:pBdr/>
      <w:spacing/>
      <w:ind/>
    </w:pPr>
    <w:rPr>
      <w:b/>
      <w:bCs/>
    </w:rPr>
  </w:style>
  <w:style w:type="character" w:styleId="1030" w:customStyle="1">
    <w:name w:val="Заголовок 6 Знак"/>
    <w:uiPriority w:val="9"/>
    <w:qFormat/>
    <w:pPr>
      <w:pBdr/>
      <w:spacing/>
      <w:ind/>
    </w:pPr>
    <w:rPr>
      <w:rFonts w:ascii="Cambria" w:hAnsi="Cambria"/>
      <w:i/>
      <w:iCs/>
      <w:color w:val="243f60"/>
    </w:rPr>
  </w:style>
  <w:style w:type="character" w:styleId="1031" w:customStyle="1">
    <w:name w:val="Заголовок 7 Знак"/>
    <w:uiPriority w:val="9"/>
    <w:qFormat/>
    <w:pPr>
      <w:pBdr/>
      <w:spacing/>
      <w:ind/>
    </w:pPr>
    <w:rPr>
      <w:rFonts w:ascii="Cambria" w:hAnsi="Cambria"/>
      <w:i/>
      <w:iCs/>
      <w:color w:val="404040"/>
    </w:rPr>
  </w:style>
  <w:style w:type="character" w:styleId="1032" w:customStyle="1">
    <w:name w:val="Заголовок 8 Знак"/>
    <w:uiPriority w:val="9"/>
    <w:qFormat/>
    <w:pPr>
      <w:pBdr/>
      <w:spacing/>
      <w:ind/>
    </w:pPr>
    <w:rPr>
      <w:rFonts w:ascii="Cambria" w:hAnsi="Cambria"/>
      <w:color w:val="4f81bd"/>
    </w:rPr>
  </w:style>
  <w:style w:type="character" w:styleId="1033" w:customStyle="1">
    <w:name w:val="Заголовок 1 Знак"/>
    <w:qFormat/>
    <w:pPr>
      <w:pBdr/>
      <w:spacing/>
      <w:ind/>
    </w:pPr>
    <w:rPr>
      <w:rFonts w:eastAsia="Calibri"/>
      <w:b/>
      <w:sz w:val="28"/>
      <w:szCs w:val="28"/>
    </w:rPr>
  </w:style>
  <w:style w:type="character" w:styleId="1034" w:customStyle="1">
    <w:name w:val="Заголовок 2 Знак"/>
    <w:qFormat/>
    <w:pPr>
      <w:pBdr/>
      <w:spacing/>
      <w:ind/>
    </w:pPr>
    <w:rPr>
      <w:rFonts w:eastAsia="Calibri"/>
      <w:b/>
      <w:bCs/>
      <w:sz w:val="24"/>
      <w:szCs w:val="24"/>
    </w:rPr>
  </w:style>
  <w:style w:type="character" w:styleId="1035" w:customStyle="1">
    <w:name w:val="Заголовок 3 Знак"/>
    <w:qFormat/>
    <w:pPr>
      <w:pBdr/>
      <w:spacing/>
      <w:ind/>
    </w:pPr>
    <w:rPr>
      <w:rFonts w:eastAsia="Calibri"/>
      <w:b/>
      <w:sz w:val="24"/>
      <w:szCs w:val="24"/>
    </w:rPr>
  </w:style>
  <w:style w:type="character" w:styleId="1036" w:customStyle="1">
    <w:name w:val="Заголовок 4 Знак"/>
    <w:qFormat/>
    <w:pPr>
      <w:pBdr/>
      <w:spacing/>
      <w:ind/>
    </w:pPr>
    <w:rPr>
      <w:rFonts w:eastAsia="Calibri"/>
      <w:b/>
      <w:bCs/>
      <w:sz w:val="24"/>
      <w:szCs w:val="24"/>
    </w:rPr>
  </w:style>
  <w:style w:type="character" w:styleId="1037" w:customStyle="1">
    <w:name w:val="Заголовок 5 Знак"/>
    <w:uiPriority w:val="9"/>
    <w:qFormat/>
    <w:pPr>
      <w:pBdr/>
      <w:spacing/>
      <w:ind/>
    </w:pPr>
    <w:rPr>
      <w:b/>
      <w:bCs/>
      <w:i/>
      <w:iCs/>
      <w:sz w:val="26"/>
      <w:szCs w:val="26"/>
    </w:rPr>
  </w:style>
  <w:style w:type="character" w:styleId="1038" w:customStyle="1">
    <w:name w:val="Заголовок 9 Знак"/>
    <w:uiPriority w:val="9"/>
    <w:qFormat/>
    <w:pPr>
      <w:pBdr/>
      <w:spacing/>
      <w:ind/>
    </w:pPr>
    <w:rPr>
      <w:rFonts w:ascii="Arial" w:hAnsi="Arial" w:cs="Arial"/>
      <w:sz w:val="22"/>
      <w:szCs w:val="22"/>
    </w:rPr>
  </w:style>
  <w:style w:type="character" w:styleId="1039" w:customStyle="1">
    <w:name w:val="Название Знак"/>
    <w:uiPriority w:val="10"/>
    <w:qFormat/>
    <w:pPr>
      <w:pBdr/>
      <w:spacing/>
      <w:ind/>
    </w:pPr>
    <w:rPr>
      <w:sz w:val="28"/>
    </w:rPr>
  </w:style>
  <w:style w:type="character" w:styleId="1040" w:customStyle="1">
    <w:name w:val="Подзаголовок Знак"/>
    <w:uiPriority w:val="11"/>
    <w:qFormat/>
    <w:pPr>
      <w:pBdr/>
      <w:spacing/>
      <w:ind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41">
    <w:name w:val="Emphasis"/>
    <w:uiPriority w:val="20"/>
    <w:qFormat/>
    <w:pPr>
      <w:pBdr/>
      <w:spacing/>
      <w:ind/>
    </w:pPr>
    <w:rPr>
      <w:i/>
      <w:iCs/>
    </w:rPr>
  </w:style>
  <w:style w:type="character" w:styleId="1042" w:customStyle="1">
    <w:name w:val="Выделенная цитата Знак"/>
    <w:link w:val="1102"/>
    <w:uiPriority w:val="30"/>
    <w:qFormat/>
    <w:pPr>
      <w:pBdr/>
      <w:spacing/>
      <w:ind/>
    </w:pPr>
    <w:rPr>
      <w:rFonts w:ascii="Calibri" w:hAnsi="Calibri" w:eastAsia="Calibri"/>
      <w:b/>
      <w:bCs/>
      <w:i/>
      <w:iCs/>
      <w:color w:val="4f81bd"/>
    </w:rPr>
  </w:style>
  <w:style w:type="character" w:styleId="1043">
    <w:name w:val="Subtle Emphasis"/>
    <w:uiPriority w:val="19"/>
    <w:qFormat/>
    <w:pPr>
      <w:pBdr/>
      <w:spacing/>
      <w:ind/>
    </w:pPr>
    <w:rPr>
      <w:i/>
      <w:iCs/>
      <w:color w:val="808080"/>
    </w:rPr>
  </w:style>
  <w:style w:type="character" w:styleId="1044">
    <w:name w:val="Intense Emphasis"/>
    <w:uiPriority w:val="21"/>
    <w:qFormat/>
    <w:pPr>
      <w:pBdr/>
      <w:spacing/>
      <w:ind/>
    </w:pPr>
    <w:rPr>
      <w:b/>
      <w:bCs/>
      <w:i/>
      <w:iCs/>
      <w:color w:val="4f81bd"/>
    </w:rPr>
  </w:style>
  <w:style w:type="character" w:styleId="1045">
    <w:name w:val="Subtle Reference"/>
    <w:uiPriority w:val="31"/>
    <w:qFormat/>
    <w:pPr>
      <w:pBdr/>
      <w:spacing/>
      <w:ind/>
    </w:pPr>
    <w:rPr>
      <w:smallCaps/>
      <w:color w:val="c0504d"/>
      <w:u w:val="single"/>
    </w:rPr>
  </w:style>
  <w:style w:type="character" w:styleId="1046">
    <w:name w:val="Intense Reference"/>
    <w:uiPriority w:val="32"/>
    <w:qFormat/>
    <w:pPr>
      <w:pBdr/>
      <w:spacing/>
      <w:ind/>
    </w:pPr>
    <w:rPr>
      <w:b/>
      <w:bCs/>
      <w:smallCaps/>
      <w:color w:val="c0504d"/>
      <w:spacing w:val="5"/>
      <w:u w:val="single"/>
    </w:rPr>
  </w:style>
  <w:style w:type="character" w:styleId="1047">
    <w:name w:val="Book Title"/>
    <w:uiPriority w:val="33"/>
    <w:qFormat/>
    <w:pPr>
      <w:pBdr/>
      <w:spacing/>
      <w:ind/>
    </w:pPr>
    <w:rPr>
      <w:b/>
      <w:bCs/>
      <w:smallCaps/>
      <w:spacing w:val="5"/>
    </w:rPr>
  </w:style>
  <w:style w:type="character" w:styleId="1048" w:customStyle="1">
    <w:name w:val="Электронная подпись Знак"/>
    <w:link w:val="1105"/>
    <w:uiPriority w:val="99"/>
    <w:qFormat/>
    <w:pPr>
      <w:pBdr/>
      <w:spacing/>
      <w:ind/>
    </w:pPr>
    <w:rPr>
      <w:rFonts w:eastAsia="Calibri"/>
      <w:sz w:val="24"/>
      <w:szCs w:val="24"/>
    </w:rPr>
  </w:style>
  <w:style w:type="character" w:styleId="1049" w:customStyle="1">
    <w:name w:val="Подпункт Знак1"/>
    <w:link w:val="1084"/>
    <w:qFormat/>
    <w:pPr>
      <w:pBdr/>
      <w:spacing/>
      <w:ind/>
    </w:pPr>
    <w:rPr>
      <w:sz w:val="28"/>
    </w:rPr>
  </w:style>
  <w:style w:type="character" w:styleId="1050" w:customStyle="1">
    <w:name w:val="Текст сноски Знак"/>
    <w:uiPriority w:val="99"/>
    <w:qFormat/>
    <w:pPr>
      <w:pBdr/>
      <w:spacing/>
      <w:ind/>
    </w:pPr>
  </w:style>
  <w:style w:type="character" w:styleId="1051" w:customStyle="1">
    <w:name w:val="Основной текст Знак"/>
    <w:qFormat/>
    <w:pPr>
      <w:pBdr/>
      <w:spacing/>
      <w:ind/>
    </w:pPr>
    <w:rPr>
      <w:sz w:val="28"/>
      <w:szCs w:val="28"/>
    </w:rPr>
  </w:style>
  <w:style w:type="character" w:styleId="1052" w:customStyle="1">
    <w:name w:val="blk"/>
    <w:qFormat/>
    <w:pPr>
      <w:pBdr/>
      <w:spacing/>
      <w:ind/>
    </w:pPr>
  </w:style>
  <w:style w:type="character" w:styleId="1053" w:customStyle="1">
    <w:name w:val="Абзац списка Знак"/>
    <w:link w:val="1100"/>
    <w:uiPriority w:val="34"/>
    <w:qFormat/>
    <w:pPr>
      <w:pBdr/>
      <w:spacing/>
      <w:ind/>
    </w:pPr>
    <w:rPr>
      <w:rFonts w:eastAsia="Calibri"/>
      <w:sz w:val="24"/>
      <w:szCs w:val="24"/>
    </w:rPr>
  </w:style>
  <w:style w:type="character" w:styleId="1054" w:customStyle="1">
    <w:name w:val="комментарий"/>
    <w:qFormat/>
    <w:pPr>
      <w:pBdr/>
      <w:spacing/>
      <w:ind/>
    </w:pPr>
    <w:rPr>
      <w:b/>
      <w:i/>
      <w:shd w:val="clear" w:color="auto" w:fill="ffff99"/>
    </w:rPr>
  </w:style>
  <w:style w:type="character" w:styleId="1055" w:customStyle="1">
    <w:name w:val="Подподпункт Знак"/>
    <w:link w:val="1113"/>
    <w:qFormat/>
    <w:pPr>
      <w:pBdr/>
      <w:spacing/>
      <w:ind/>
    </w:pPr>
    <w:rPr>
      <w:sz w:val="26"/>
      <w:szCs w:val="26"/>
    </w:rPr>
  </w:style>
  <w:style w:type="character" w:styleId="1056" w:customStyle="1">
    <w:name w:val="Верхний колонтитул Знак"/>
    <w:uiPriority w:val="99"/>
    <w:qFormat/>
    <w:pPr>
      <w:pBdr/>
      <w:spacing/>
      <w:ind/>
    </w:pPr>
    <w:rPr>
      <w:sz w:val="24"/>
      <w:szCs w:val="24"/>
    </w:rPr>
  </w:style>
  <w:style w:type="character" w:styleId="1057" w:customStyle="1">
    <w:name w:val="Текст примечания Знак"/>
    <w:link w:val="1091"/>
    <w:semiHidden/>
    <w:qFormat/>
    <w:pPr>
      <w:pBdr/>
      <w:spacing/>
      <w:ind/>
    </w:pPr>
  </w:style>
  <w:style w:type="character" w:styleId="1058" w:customStyle="1">
    <w:name w:val="Текст концевой сноски Знак"/>
    <w:basedOn w:val="1023"/>
    <w:qFormat/>
    <w:pPr>
      <w:pBdr/>
      <w:spacing/>
      <w:ind/>
    </w:pPr>
  </w:style>
  <w:style w:type="character" w:styleId="1059">
    <w:name w:val="Символ концевой сноски"/>
    <w:qFormat/>
    <w:pPr>
      <w:pBdr/>
      <w:spacing/>
      <w:ind/>
    </w:pPr>
    <w:rPr>
      <w:vertAlign w:val="superscript"/>
    </w:rPr>
  </w:style>
  <w:style w:type="character" w:styleId="1060">
    <w:name w:val="endnote reference"/>
    <w:pPr>
      <w:pBdr/>
      <w:spacing/>
      <w:ind/>
    </w:pPr>
    <w:rPr>
      <w:vertAlign w:val="superscript"/>
    </w:rPr>
  </w:style>
  <w:style w:type="character" w:styleId="1061">
    <w:name w:val="Ссылка указателя"/>
    <w:qFormat/>
    <w:pPr>
      <w:pBdr/>
      <w:spacing/>
      <w:ind/>
    </w:pPr>
  </w:style>
  <w:style w:type="character" w:styleId="1062">
    <w:name w:val="Символ нумерации"/>
    <w:qFormat/>
    <w:pPr>
      <w:pBdr/>
      <w:spacing/>
      <w:ind/>
    </w:pPr>
  </w:style>
  <w:style w:type="character" w:styleId="1063">
    <w:name w:val="Нижний колонтитул Знак"/>
    <w:qFormat/>
    <w:pPr>
      <w:pBdr/>
      <w:spacing/>
      <w:ind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1064">
    <w:name w:val="Заголовок"/>
    <w:basedOn w:val="995"/>
    <w:next w:val="1065"/>
    <w:qFormat/>
    <w:pPr>
      <w:keepNext w:val="true"/>
      <w:pBdr/>
      <w:spacing w:after="120" w:before="240"/>
      <w:ind/>
    </w:pPr>
    <w:rPr>
      <w:rFonts w:ascii="Liberation Sans" w:hAnsi="Liberation Sans" w:eastAsia="Tahoma" w:cs="Lohit Devanagari"/>
      <w:sz w:val="28"/>
      <w:szCs w:val="28"/>
    </w:rPr>
  </w:style>
  <w:style w:type="paragraph" w:styleId="1065">
    <w:name w:val="Body Text"/>
    <w:basedOn w:val="995"/>
    <w:link w:val="1051"/>
    <w:pPr>
      <w:pBdr/>
      <w:spacing w:after="120" w:before="0"/>
      <w:ind/>
    </w:pPr>
  </w:style>
  <w:style w:type="paragraph" w:styleId="1066">
    <w:name w:val="List"/>
    <w:basedOn w:val="1065"/>
    <w:pPr>
      <w:pBdr/>
      <w:spacing/>
      <w:ind/>
    </w:pPr>
    <w:rPr>
      <w:rFonts w:cs="Lohit Devanagari"/>
    </w:rPr>
  </w:style>
  <w:style w:type="paragraph" w:styleId="1067">
    <w:name w:val="Caption"/>
    <w:basedOn w:val="995"/>
    <w:qFormat/>
    <w:pPr>
      <w:suppressLineNumbers w:val="true"/>
      <w:pBdr/>
      <w:spacing w:after="120" w:before="120"/>
      <w:ind/>
    </w:pPr>
    <w:rPr>
      <w:rFonts w:cs="Lohit Devanagari"/>
      <w:i/>
      <w:iCs/>
      <w:sz w:val="24"/>
      <w:szCs w:val="24"/>
    </w:rPr>
  </w:style>
  <w:style w:type="paragraph" w:styleId="1068">
    <w:name w:val="Указатель"/>
    <w:basedOn w:val="995"/>
    <w:qFormat/>
    <w:pPr>
      <w:suppressLineNumbers w:val="true"/>
      <w:pBdr/>
      <w:spacing/>
      <w:ind/>
    </w:pPr>
    <w:rPr>
      <w:rFonts w:cs="Lohit Devanagari"/>
    </w:rPr>
  </w:style>
  <w:style w:type="paragraph" w:styleId="1069">
    <w:name w:val="Title"/>
    <w:basedOn w:val="995"/>
    <w:next w:val="995"/>
    <w:link w:val="1014"/>
    <w:uiPriority w:val="10"/>
    <w:qFormat/>
    <w:pPr>
      <w:pBdr/>
      <w:spacing w:after="80" w:before="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1070">
    <w:name w:val="table of figures"/>
    <w:basedOn w:val="995"/>
    <w:next w:val="995"/>
    <w:uiPriority w:val="99"/>
    <w:unhideWhenUsed/>
    <w:qFormat/>
    <w:pPr>
      <w:pBdr/>
      <w:spacing w:after="0" w:afterAutospacing="0" w:before="0"/>
      <w:ind/>
    </w:pPr>
  </w:style>
  <w:style w:type="paragraph" w:styleId="1071" w:customStyle="1">
    <w:name w:val="Название раздела инструкции"/>
    <w:basedOn w:val="995"/>
    <w:qFormat/>
    <w:pPr>
      <w:pBdr/>
      <w:spacing/>
      <w:ind/>
      <w:jc w:val="center"/>
    </w:pPr>
    <w:rPr>
      <w:b/>
    </w:rPr>
  </w:style>
  <w:style w:type="paragraph" w:styleId="1072" w:customStyle="1">
    <w:name w:val="Раздел положения"/>
    <w:basedOn w:val="995"/>
    <w:qFormat/>
    <w:pPr>
      <w:numPr>
        <w:ilvl w:val="0"/>
        <w:numId w:val="1"/>
      </w:numPr>
      <w:pBdr/>
      <w:spacing w:after="80" w:before="80"/>
      <w:ind/>
      <w:jc w:val="center"/>
    </w:pPr>
    <w:rPr>
      <w:b/>
      <w:sz w:val="32"/>
      <w:szCs w:val="32"/>
    </w:rPr>
  </w:style>
  <w:style w:type="paragraph" w:styleId="1073" w:customStyle="1">
    <w:name w:val="Подраздел раздела положения"/>
    <w:basedOn w:val="995"/>
    <w:qFormat/>
    <w:pPr>
      <w:numPr>
        <w:ilvl w:val="1"/>
        <w:numId w:val="1"/>
      </w:numPr>
      <w:pBdr/>
      <w:spacing w:after="80" w:before="80"/>
      <w:ind/>
      <w:jc w:val="both"/>
    </w:pPr>
  </w:style>
  <w:style w:type="paragraph" w:styleId="1074">
    <w:name w:val="footnote text"/>
    <w:basedOn w:val="995"/>
    <w:link w:val="1050"/>
    <w:uiPriority w:val="99"/>
    <w:pPr>
      <w:pBdr/>
      <w:spacing/>
      <w:ind/>
    </w:pPr>
    <w:rPr>
      <w:sz w:val="20"/>
      <w:szCs w:val="20"/>
    </w:rPr>
  </w:style>
  <w:style w:type="paragraph" w:styleId="1075">
    <w:name w:val="Колонтитул"/>
    <w:basedOn w:val="995"/>
    <w:qFormat/>
    <w:pPr>
      <w:pBdr/>
      <w:spacing/>
      <w:ind/>
    </w:pPr>
  </w:style>
  <w:style w:type="paragraph" w:styleId="1076">
    <w:name w:val="Header"/>
    <w:basedOn w:val="995"/>
    <w:link w:val="1056"/>
    <w:uiPriority w:val="99"/>
    <w:pPr>
      <w:pBdr/>
      <w:tabs>
        <w:tab w:val="clear" w:leader="none" w:pos="708"/>
        <w:tab w:val="center" w:leader="none" w:pos="4677"/>
        <w:tab w:val="right" w:leader="none" w:pos="9355"/>
      </w:tabs>
      <w:spacing/>
      <w:ind/>
    </w:pPr>
    <w:rPr>
      <w:sz w:val="24"/>
      <w:szCs w:val="24"/>
    </w:rPr>
  </w:style>
  <w:style w:type="paragraph" w:styleId="1077">
    <w:name w:val="Body Text Indent"/>
    <w:basedOn w:val="995"/>
    <w:pPr>
      <w:pBdr/>
      <w:spacing/>
      <w:ind w:firstLine="0" w:left="360"/>
    </w:pPr>
    <w:rPr>
      <w:sz w:val="24"/>
      <w:szCs w:val="24"/>
    </w:rPr>
  </w:style>
  <w:style w:type="paragraph" w:styleId="1078">
    <w:name w:val="Footer"/>
    <w:basedOn w:val="995"/>
    <w:pPr>
      <w:pBdr/>
      <w:tabs>
        <w:tab w:val="clear" w:leader="none" w:pos="708"/>
        <w:tab w:val="center" w:leader="none" w:pos="4677"/>
        <w:tab w:val="right" w:leader="none" w:pos="9355"/>
      </w:tabs>
      <w:spacing/>
      <w:ind/>
    </w:pPr>
  </w:style>
  <w:style w:type="paragraph" w:styleId="1079">
    <w:name w:val="Body Text Indent 2"/>
    <w:basedOn w:val="995"/>
    <w:qFormat/>
    <w:pPr>
      <w:pBdr/>
      <w:spacing w:after="120" w:before="0" w:line="480" w:lineRule="auto"/>
      <w:ind w:firstLine="0" w:left="283"/>
    </w:pPr>
  </w:style>
  <w:style w:type="paragraph" w:styleId="1080">
    <w:name w:val="Body Text 3"/>
    <w:basedOn w:val="995"/>
    <w:qFormat/>
    <w:pPr>
      <w:pBdr/>
      <w:spacing w:after="120" w:before="0"/>
      <w:ind/>
    </w:pPr>
    <w:rPr>
      <w:sz w:val="16"/>
      <w:szCs w:val="16"/>
    </w:rPr>
  </w:style>
  <w:style w:type="paragraph" w:styleId="1081">
    <w:name w:val="Body Text Indent 3"/>
    <w:basedOn w:val="995"/>
    <w:qFormat/>
    <w:pPr>
      <w:pBdr/>
      <w:spacing w:after="120" w:before="0"/>
      <w:ind w:firstLine="0" w:left="283"/>
    </w:pPr>
    <w:rPr>
      <w:sz w:val="16"/>
      <w:szCs w:val="16"/>
    </w:rPr>
  </w:style>
  <w:style w:type="paragraph" w:styleId="1082">
    <w:name w:val="Body Text 2"/>
    <w:basedOn w:val="995"/>
    <w:qFormat/>
    <w:pPr>
      <w:pBdr/>
      <w:spacing w:after="120" w:before="0" w:line="480" w:lineRule="auto"/>
      <w:ind/>
    </w:pPr>
  </w:style>
  <w:style w:type="paragraph" w:styleId="1083">
    <w:name w:val="Block Text"/>
    <w:basedOn w:val="995"/>
    <w:qFormat/>
    <w:pPr>
      <w:pBdr/>
      <w:spacing/>
      <w:ind w:right="-766" w:firstLine="0" w:left="-567"/>
      <w:jc w:val="center"/>
    </w:pPr>
    <w:rPr>
      <w:b/>
      <w:bCs/>
      <w:sz w:val="24"/>
      <w:szCs w:val="20"/>
    </w:rPr>
  </w:style>
  <w:style w:type="paragraph" w:styleId="1084" w:customStyle="1">
    <w:name w:val="Подпункт"/>
    <w:basedOn w:val="995"/>
    <w:link w:val="1049"/>
    <w:qFormat/>
    <w:pPr>
      <w:pBdr/>
      <w:tabs>
        <w:tab w:val="clear" w:leader="none" w:pos="708"/>
        <w:tab w:val="left" w:leader="none" w:pos="1134"/>
      </w:tabs>
      <w:spacing w:line="360" w:lineRule="auto"/>
      <w:ind w:hanging="1134" w:left="1134"/>
      <w:jc w:val="both"/>
    </w:pPr>
    <w:rPr>
      <w:szCs w:val="20"/>
    </w:rPr>
  </w:style>
  <w:style w:type="paragraph" w:styleId="1085">
    <w:name w:val="TOC 1"/>
    <w:basedOn w:val="995"/>
    <w:next w:val="995"/>
    <w:uiPriority w:val="39"/>
    <w:pPr>
      <w:pBdr/>
      <w:spacing w:after="0" w:before="120"/>
      <w:ind/>
    </w:pPr>
    <w:rPr>
      <w:rFonts w:cs="Calibri Light (Заголовки)"/>
      <w:b/>
      <w:bCs/>
      <w:sz w:val="24"/>
      <w:szCs w:val="24"/>
    </w:rPr>
  </w:style>
  <w:style w:type="paragraph" w:styleId="1086">
    <w:name w:val="TOC 3"/>
    <w:basedOn w:val="995"/>
    <w:next w:val="995"/>
    <w:uiPriority w:val="39"/>
    <w:pPr>
      <w:pBdr/>
      <w:spacing/>
      <w:ind w:firstLine="0" w:left="280"/>
    </w:pPr>
    <w:rPr>
      <w:rFonts w:cs="Calibri" w:cstheme="minorHAnsi"/>
      <w:sz w:val="20"/>
      <w:szCs w:val="20"/>
    </w:rPr>
  </w:style>
  <w:style w:type="paragraph" w:styleId="1087" w:customStyle="1">
    <w:name w:val="Раздел регламента"/>
    <w:basedOn w:val="995"/>
    <w:qFormat/>
    <w:pPr>
      <w:pBdr/>
      <w:spacing/>
      <w:ind/>
    </w:pPr>
  </w:style>
  <w:style w:type="paragraph" w:styleId="1088" w:customStyle="1">
    <w:name w:val="Приложение к регламенту"/>
    <w:basedOn w:val="995"/>
    <w:qFormat/>
    <w:pPr>
      <w:pBdr/>
      <w:spacing/>
      <w:ind/>
      <w:jc w:val="right"/>
    </w:pPr>
  </w:style>
  <w:style w:type="paragraph" w:styleId="1089">
    <w:name w:val="TOC 2"/>
    <w:basedOn w:val="995"/>
    <w:next w:val="995"/>
    <w:uiPriority w:val="39"/>
    <w:pPr>
      <w:pBdr/>
      <w:spacing w:after="0" w:before="240"/>
      <w:ind/>
    </w:pPr>
    <w:rPr>
      <w:rFonts w:cs="Calibri" w:cstheme="minorHAnsi"/>
      <w:b/>
      <w:bCs/>
      <w:sz w:val="20"/>
      <w:szCs w:val="20"/>
    </w:rPr>
  </w:style>
  <w:style w:type="paragraph" w:styleId="1090">
    <w:name w:val="Balloon Text"/>
    <w:basedOn w:val="995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1091">
    <w:name w:val="annotation text"/>
    <w:basedOn w:val="995"/>
    <w:link w:val="1057"/>
    <w:semiHidden/>
    <w:qFormat/>
    <w:pPr>
      <w:pBdr/>
      <w:spacing/>
      <w:ind/>
    </w:pPr>
    <w:rPr>
      <w:sz w:val="20"/>
      <w:szCs w:val="20"/>
    </w:rPr>
  </w:style>
  <w:style w:type="paragraph" w:styleId="1092">
    <w:name w:val="annotation subject"/>
    <w:basedOn w:val="1091"/>
    <w:next w:val="1091"/>
    <w:semiHidden/>
    <w:qFormat/>
    <w:pPr>
      <w:pBdr/>
      <w:spacing/>
      <w:ind/>
    </w:pPr>
    <w:rPr>
      <w:b/>
      <w:bCs/>
    </w:rPr>
  </w:style>
  <w:style w:type="paragraph" w:styleId="1093">
    <w:name w:val="TOC 9"/>
    <w:basedOn w:val="995"/>
    <w:next w:val="995"/>
    <w:semiHidden/>
    <w:pPr>
      <w:pBdr/>
      <w:spacing/>
      <w:ind w:firstLine="0" w:left="196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94">
    <w:name w:val="TOC 5"/>
    <w:basedOn w:val="995"/>
    <w:next w:val="995"/>
    <w:semiHidden/>
    <w:pPr>
      <w:pBdr/>
      <w:spacing/>
      <w:ind w:firstLine="0" w:left="84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95">
    <w:name w:val="TOC 4"/>
    <w:basedOn w:val="995"/>
    <w:next w:val="995"/>
    <w:uiPriority w:val="39"/>
    <w:pPr>
      <w:pBdr/>
      <w:spacing/>
      <w:ind w:firstLine="0" w:left="560"/>
    </w:pPr>
    <w:rPr>
      <w:rFonts w:cs="Calibri" w:cstheme="minorHAnsi"/>
      <w:sz w:val="20"/>
      <w:szCs w:val="20"/>
    </w:rPr>
  </w:style>
  <w:style w:type="paragraph" w:styleId="1096" w:customStyle="1">
    <w:name w:val="Знак Знак Знак Знак Знак Знак Знак Знак Знак"/>
    <w:basedOn w:val="995"/>
    <w:qFormat/>
    <w:pPr>
      <w:pBdr/>
      <w:spacing w:after="160" w:before="0" w:line="240" w:lineRule="exact"/>
      <w:ind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1097">
    <w:name w:val="No Spacing"/>
    <w:basedOn w:val="995"/>
    <w:uiPriority w:val="1"/>
    <w:qFormat/>
    <w:pPr>
      <w:pBdr/>
      <w:spacing w:line="360" w:lineRule="auto"/>
      <w:ind/>
    </w:pPr>
    <w:rPr>
      <w:rFonts w:eastAsia="Calibri"/>
      <w:sz w:val="24"/>
      <w:szCs w:val="24"/>
    </w:rPr>
  </w:style>
  <w:style w:type="paragraph" w:styleId="1098">
    <w:name w:val="caption1"/>
    <w:basedOn w:val="995"/>
    <w:next w:val="995"/>
    <w:uiPriority w:val="35"/>
    <w:qFormat/>
    <w:pPr>
      <w:pBdr/>
      <w:spacing/>
      <w:ind/>
    </w:pPr>
    <w:rPr>
      <w:rFonts w:eastAsia="Calibri"/>
      <w:b/>
      <w:bCs/>
      <w:color w:val="4f81bd"/>
      <w:sz w:val="18"/>
      <w:szCs w:val="18"/>
    </w:rPr>
  </w:style>
  <w:style w:type="paragraph" w:styleId="1099">
    <w:name w:val="Subtitle"/>
    <w:basedOn w:val="995"/>
    <w:next w:val="995"/>
    <w:link w:val="1040"/>
    <w:uiPriority w:val="11"/>
    <w:qFormat/>
    <w:pPr>
      <w:pBdr/>
      <w:spacing/>
      <w:ind w:firstLine="709" w:left="1066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1100">
    <w:name w:val="List Paragraph"/>
    <w:basedOn w:val="995"/>
    <w:link w:val="1053"/>
    <w:uiPriority w:val="34"/>
    <w:qFormat/>
    <w:pPr>
      <w:pBdr/>
      <w:spacing w:after="0" w:before="0"/>
      <w:ind w:firstLine="0" w:left="720"/>
      <w:contextualSpacing w:val="true"/>
    </w:pPr>
    <w:rPr>
      <w:rFonts w:eastAsia="Calibri"/>
      <w:sz w:val="24"/>
      <w:szCs w:val="24"/>
    </w:rPr>
  </w:style>
  <w:style w:type="paragraph" w:styleId="1101">
    <w:name w:val="Quote"/>
    <w:basedOn w:val="995"/>
    <w:next w:val="995"/>
    <w:uiPriority w:val="29"/>
    <w:qFormat/>
    <w:pPr>
      <w:pBdr/>
      <w:spacing/>
      <w:ind/>
    </w:pPr>
    <w:rPr>
      <w:rFonts w:ascii="Calibri" w:hAnsi="Calibri" w:eastAsia="Calibri"/>
      <w:i/>
      <w:iCs/>
      <w:color w:val="000000"/>
      <w:sz w:val="20"/>
      <w:szCs w:val="20"/>
    </w:rPr>
  </w:style>
  <w:style w:type="paragraph" w:styleId="1102">
    <w:name w:val="Intense Quote"/>
    <w:basedOn w:val="995"/>
    <w:next w:val="995"/>
    <w:link w:val="1042"/>
    <w:uiPriority w:val="30"/>
    <w:qFormat/>
    <w:pPr>
      <w:pBdr>
        <w:bottom w:val="single" w:color="4f81bd" w:sz="4" w:space="4"/>
      </w:pBdr>
      <w:spacing w:after="280" w:before="200"/>
      <w:ind w:right="936" w:firstLine="0" w:left="936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1103">
    <w:name w:val="Index Heading"/>
    <w:basedOn w:val="1064"/>
    <w:pPr>
      <w:pBdr/>
      <w:spacing/>
      <w:ind/>
    </w:pPr>
  </w:style>
  <w:style w:type="paragraph" w:styleId="1104">
    <w:name w:val="TOC Heading"/>
    <w:basedOn w:val="996"/>
    <w:next w:val="995"/>
    <w:uiPriority w:val="39"/>
    <w:qFormat/>
    <w:pPr>
      <w:keepLines w:val="true"/>
      <w:pBdr/>
      <w:spacing w:after="60" w:before="480"/>
      <w:ind/>
      <w:outlineLvl w:val="9"/>
    </w:pPr>
    <w:rPr>
      <w:rFonts w:ascii="Cambria" w:hAnsi="Cambria"/>
      <w:bCs/>
      <w:color w:val="365f91"/>
    </w:rPr>
  </w:style>
  <w:style w:type="paragraph" w:styleId="1105">
    <w:name w:val="E-mail Signature"/>
    <w:basedOn w:val="995"/>
    <w:link w:val="1048"/>
    <w:uiPriority w:val="99"/>
    <w:unhideWhenUsed/>
    <w:qFormat/>
    <w:pPr>
      <w:pBdr/>
      <w:spacing/>
      <w:ind/>
    </w:pPr>
    <w:rPr>
      <w:rFonts w:eastAsia="Calibri"/>
      <w:sz w:val="24"/>
      <w:szCs w:val="24"/>
    </w:rPr>
  </w:style>
  <w:style w:type="paragraph" w:styleId="1106" w:customStyle="1">
    <w:name w:val="Знак"/>
    <w:basedOn w:val="995"/>
    <w:qFormat/>
    <w:pPr>
      <w:pBdr/>
      <w:spacing w:after="160" w:before="0" w:line="240" w:lineRule="exact"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1107" w:customStyle="1">
    <w:name w:val="List Bullet 4"/>
    <w:basedOn w:val="995"/>
    <w:qFormat/>
    <w:pPr>
      <w:numPr>
        <w:ilvl w:val="0"/>
        <w:numId w:val="2"/>
      </w:numPr>
      <w:pBdr/>
      <w:spacing w:after="0" w:before="120"/>
      <w:ind/>
      <w:jc w:val="both"/>
    </w:pPr>
    <w:rPr>
      <w:rFonts w:ascii="Garamond" w:hAnsi="Garamond"/>
      <w:sz w:val="24"/>
      <w:szCs w:val="20"/>
    </w:rPr>
  </w:style>
  <w:style w:type="paragraph" w:styleId="1108">
    <w:name w:val="Revision"/>
    <w:uiPriority w:val="99"/>
    <w:semiHidden/>
    <w:qFormat/>
    <w:pPr>
      <w:widowControl w:val="true"/>
      <w:pBdr/>
      <w:bidi w:val="false"/>
      <w:spacing w:after="0" w:before="0"/>
      <w:ind/>
      <w:jc w:val="left"/>
    </w:pPr>
    <w:rPr>
      <w:rFonts w:ascii="Times New Roman" w:hAnsi="Times New Roman" w:eastAsia="Calibri" w:cs="Times New Roman"/>
      <w:color w:val="auto"/>
      <w:sz w:val="24"/>
      <w:szCs w:val="24"/>
      <w:lang w:val="ru-RU" w:eastAsia="ru-RU" w:bidi="ar-SA"/>
    </w:rPr>
  </w:style>
  <w:style w:type="paragraph" w:styleId="1109" w:customStyle="1">
    <w:name w:val="ConsPlusNormal"/>
    <w:qFormat/>
    <w:pPr>
      <w:widowControl w:val="false"/>
      <w:pBdr/>
      <w:bidi w:val="false"/>
      <w:spacing w:after="0" w:before="0"/>
      <w:ind w:firstLine="720"/>
      <w:jc w:val="left"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1110" w:customStyle="1">
    <w:name w:val="Пункт"/>
    <w:basedOn w:val="995"/>
    <w:qFormat/>
    <w:pPr>
      <w:widowControl w:val="false"/>
      <w:pBdr/>
      <w:tabs>
        <w:tab w:val="clear" w:leader="none" w:pos="708"/>
        <w:tab w:val="left" w:leader="none" w:pos="1134"/>
      </w:tabs>
      <w:spacing w:after="0" w:before="120" w:line="360" w:lineRule="auto"/>
      <w:ind w:right="800" w:hanging="1134" w:left="1134"/>
      <w:jc w:val="both"/>
    </w:pPr>
    <w:rPr>
      <w:rFonts w:ascii="Arial" w:hAnsi="Arial"/>
      <w:b/>
      <w:i/>
      <w:szCs w:val="20"/>
    </w:rPr>
  </w:style>
  <w:style w:type="paragraph" w:styleId="1111" w:customStyle="1">
    <w:name w:val="Таблица"/>
    <w:basedOn w:val="995"/>
    <w:qFormat/>
    <w:pPr>
      <w:keepNext w:val="true"/>
      <w:pBdr/>
      <w:spacing w:after="60" w:before="60"/>
      <w:ind/>
      <w:jc w:val="center"/>
    </w:pPr>
    <w:rPr>
      <w:rFonts w:eastAsia="Calibri"/>
      <w:b/>
      <w:sz w:val="24"/>
      <w:szCs w:val="24"/>
    </w:rPr>
  </w:style>
  <w:style w:type="paragraph" w:styleId="1112" w:customStyle="1">
    <w:name w:val="Таблица шапка"/>
    <w:basedOn w:val="995"/>
    <w:qFormat/>
    <w:pPr>
      <w:keepNext w:val="true"/>
      <w:pBdr/>
      <w:spacing w:after="40" w:before="40"/>
      <w:ind w:right="57" w:firstLine="0" w:left="57"/>
    </w:pPr>
    <w:rPr>
      <w:sz w:val="22"/>
      <w:szCs w:val="26"/>
    </w:rPr>
  </w:style>
  <w:style w:type="paragraph" w:styleId="1113" w:customStyle="1">
    <w:name w:val="Подподпункт"/>
    <w:basedOn w:val="1084"/>
    <w:link w:val="1055"/>
    <w:qFormat/>
    <w:pPr>
      <w:pBdr/>
      <w:tabs>
        <w:tab w:val="clear" w:leader="none" w:pos="1134"/>
        <w:tab w:val="left" w:leader="none" w:pos="5104"/>
      </w:tabs>
      <w:spacing w:after="0" w:before="120" w:line="240" w:lineRule="auto"/>
      <w:ind w:hanging="567" w:left="5104"/>
    </w:pPr>
    <w:rPr>
      <w:sz w:val="26"/>
      <w:szCs w:val="26"/>
      <w:lang w:val="ru-RU" w:eastAsia="ru-RU"/>
    </w:rPr>
  </w:style>
  <w:style w:type="paragraph" w:styleId="1114" w:customStyle="1">
    <w:name w:val="УРОВЕНЬ_(а)"/>
    <w:basedOn w:val="1100"/>
    <w:qFormat/>
    <w:pPr>
      <w:numPr>
        <w:ilvl w:val="3"/>
        <w:numId w:val="4"/>
      </w:numPr>
      <w:pBdr/>
      <w:spacing w:after="0" w:before="120" w:line="360" w:lineRule="exact"/>
      <w:ind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1115" w:customStyle="1">
    <w:name w:val="УРОВЕНЬ_-"/>
    <w:basedOn w:val="1100"/>
    <w:qFormat/>
    <w:pPr>
      <w:numPr>
        <w:ilvl w:val="4"/>
        <w:numId w:val="4"/>
      </w:numPr>
      <w:pBdr/>
      <w:spacing w:after="0" w:before="120" w:line="360" w:lineRule="exact"/>
      <w:ind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1116" w:customStyle="1">
    <w:name w:val="УРОВЕНЬ_Подпись"/>
    <w:basedOn w:val="1100"/>
    <w:qFormat/>
    <w:pPr>
      <w:keepNext w:val="true"/>
      <w:numPr>
        <w:ilvl w:val="5"/>
        <w:numId w:val="4"/>
      </w:numPr>
      <w:pBdr/>
      <w:spacing w:after="120" w:before="120" w:line="360" w:lineRule="exact"/>
      <w:ind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117">
    <w:name w:val="endnote text"/>
    <w:basedOn w:val="995"/>
    <w:link w:val="1058"/>
    <w:pPr>
      <w:pBdr/>
      <w:spacing/>
      <w:ind/>
    </w:pPr>
    <w:rPr>
      <w:sz w:val="20"/>
      <w:szCs w:val="20"/>
    </w:rPr>
  </w:style>
  <w:style w:type="paragraph" w:styleId="1118" w:customStyle="1">
    <w:name w:val="Таблица текст"/>
    <w:basedOn w:val="995"/>
    <w:qFormat/>
    <w:pPr>
      <w:pBdr/>
      <w:spacing w:after="40" w:before="40"/>
      <w:ind w:right="57" w:firstLine="0" w:left="57"/>
    </w:pPr>
    <w:rPr>
      <w:sz w:val="24"/>
      <w:szCs w:val="26"/>
    </w:rPr>
  </w:style>
  <w:style w:type="paragraph" w:styleId="1119">
    <w:name w:val="Normal (Web)"/>
    <w:basedOn w:val="995"/>
    <w:uiPriority w:val="99"/>
    <w:unhideWhenUsed/>
    <w:qFormat/>
    <w:pPr>
      <w:pBdr/>
      <w:spacing w:afterAutospacing="1" w:beforeAutospacing="1"/>
      <w:ind/>
    </w:pPr>
    <w:rPr>
      <w:sz w:val="24"/>
      <w:szCs w:val="24"/>
    </w:rPr>
  </w:style>
  <w:style w:type="paragraph" w:styleId="1120">
    <w:name w:val="TOC 6"/>
    <w:basedOn w:val="995"/>
    <w:next w:val="995"/>
    <w:unhideWhenUsed/>
    <w:pPr>
      <w:pBdr/>
      <w:spacing/>
      <w:ind w:firstLine="0" w:left="112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121">
    <w:name w:val="TOC 7"/>
    <w:basedOn w:val="995"/>
    <w:next w:val="995"/>
    <w:unhideWhenUsed/>
    <w:pPr>
      <w:pBdr/>
      <w:spacing/>
      <w:ind w:firstLine="0" w:left="140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122">
    <w:name w:val="TOC 8"/>
    <w:basedOn w:val="995"/>
    <w:next w:val="995"/>
    <w:unhideWhenUsed/>
    <w:pPr>
      <w:pBdr/>
      <w:spacing/>
      <w:ind w:firstLine="0" w:left="168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123" w:customStyle="1">
    <w:name w:val="xl94"/>
    <w:basedOn w:val="995"/>
    <w:qFormat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afterAutospacing="1" w:beforeAutospacing="1"/>
      <w:ind/>
    </w:pPr>
    <w:rPr>
      <w:sz w:val="24"/>
      <w:szCs w:val="24"/>
    </w:rPr>
  </w:style>
  <w:style w:type="paragraph" w:styleId="1124">
    <w:name w:val="Содержимое врезки"/>
    <w:basedOn w:val="995"/>
    <w:qFormat/>
    <w:pPr>
      <w:pBdr/>
      <w:spacing/>
      <w:ind/>
    </w:pPr>
  </w:style>
  <w:style w:type="paragraph" w:styleId="1125">
    <w:name w:val="Содержимое таблицы"/>
    <w:basedOn w:val="995"/>
    <w:qFormat/>
    <w:pPr>
      <w:widowControl w:val="false"/>
      <w:suppressLineNumbers w:val="true"/>
      <w:pBdr/>
      <w:spacing/>
      <w:ind/>
    </w:pPr>
  </w:style>
  <w:style w:type="paragraph" w:styleId="1126">
    <w:name w:val="Заголовок таблицы"/>
    <w:basedOn w:val="1125"/>
    <w:qFormat/>
    <w:pPr>
      <w:suppressLineNumbers w:val="true"/>
      <w:pBdr/>
      <w:spacing/>
      <w:ind/>
      <w:jc w:val="center"/>
    </w:pPr>
    <w:rPr>
      <w:b/>
      <w:bCs/>
    </w:rPr>
  </w:style>
  <w:style w:type="paragraph" w:styleId="1127">
    <w:name w:val="caption11"/>
    <w:basedOn w:val="995"/>
    <w:next w:val="995"/>
    <w:qFormat/>
    <w:pPr>
      <w:pBdr/>
      <w:spacing/>
      <w:ind/>
    </w:pPr>
    <w:rPr>
      <w:rFonts w:eastAsia="Calibri"/>
      <w:b/>
      <w:bCs/>
      <w:color w:val="4f81bd"/>
      <w:sz w:val="18"/>
      <w:szCs w:val="18"/>
    </w:rPr>
  </w:style>
  <w:style w:type="paragraph" w:styleId="1128">
    <w:name w:val="index heading11"/>
    <w:qFormat/>
    <w:pPr>
      <w:keepNext w:val="true"/>
      <w:widowControl w:val="true"/>
      <w:pBdr/>
      <w:bidi w:val="false"/>
      <w:spacing w:after="120" w:before="240"/>
      <w:ind/>
      <w:jc w:val="left"/>
    </w:pPr>
    <w:rPr>
      <w:rFonts w:ascii="Liberation Sans" w:hAnsi="Liberation Sans" w:eastAsia="Tahoma" w:cs="Lohit Devanagari"/>
      <w:color w:val="auto"/>
      <w:sz w:val="20"/>
      <w:szCs w:val="20"/>
      <w:lang w:val="ru-RU" w:eastAsia="ru-RU" w:bidi="ar-SA"/>
    </w:rPr>
  </w:style>
  <w:style w:type="paragraph" w:styleId="1129">
    <w:name w:val="index heading1"/>
    <w:qFormat/>
    <w:pPr>
      <w:keepNext w:val="true"/>
      <w:widowControl w:val="true"/>
      <w:pBdr/>
      <w:bidi w:val="false"/>
      <w:spacing w:after="120" w:before="240"/>
      <w:ind/>
      <w:jc w:val="left"/>
    </w:pPr>
    <w:rPr>
      <w:rFonts w:ascii="Liberation Sans" w:hAnsi="Liberation Sans" w:eastAsia="Tahoma" w:cs="Lohit Devanagari"/>
      <w:color w:val="auto"/>
      <w:sz w:val="20"/>
      <w:szCs w:val="20"/>
      <w:lang w:val="ru-RU" w:eastAsia="ru-RU" w:bidi="ar-SA"/>
    </w:rPr>
  </w:style>
  <w:style w:type="numbering" w:styleId="1130" w:default="1">
    <w:name w:val="No List"/>
    <w:uiPriority w:val="99"/>
    <w:semiHidden/>
    <w:unhideWhenUsed/>
    <w:qFormat/>
    <w:pPr>
      <w:pBdr/>
      <w:spacing/>
      <w:ind/>
    </w:pPr>
  </w:style>
  <w:style w:type="table" w:styleId="1131">
    <w:name w:val="Table Grid Light"/>
    <w:basedOn w:val="1256"/>
    <w:uiPriority w:val="59"/>
    <w:pPr>
      <w:pBdr/>
      <w:spacing w:after="0" w:line="240" w:lineRule="auto"/>
      <w:ind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2">
    <w:name w:val="Plain Table 1"/>
    <w:basedOn w:val="1256"/>
    <w:uiPriority w:val="59"/>
    <w:pPr>
      <w:pBdr/>
      <w:spacing w:after="0" w:line="240" w:lineRule="auto"/>
      <w:ind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3">
    <w:name w:val="Plain Table 2"/>
    <w:basedOn w:val="1256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4">
    <w:name w:val="Plain Table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5">
    <w:name w:val="Plain Table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6">
    <w:name w:val="Plain Table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7">
    <w:name w:val="Grid Table 1 Light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8">
    <w:name w:val="Grid Table 1 Light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9">
    <w:name w:val="Grid Table 1 Light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0">
    <w:name w:val="Grid Table 1 Light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1">
    <w:name w:val="Grid Table 1 Light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2">
    <w:name w:val="Grid Table 1 Light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3">
    <w:name w:val="Grid Table 1 Light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4">
    <w:name w:val="Grid Table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5">
    <w:name w:val="Grid Table 2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6">
    <w:name w:val="Grid Table 2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7">
    <w:name w:val="Grid Table 2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8">
    <w:name w:val="Grid Table 2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9">
    <w:name w:val="Grid Table 2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0">
    <w:name w:val="Grid Table 2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1">
    <w:name w:val="Grid Table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2">
    <w:name w:val="Grid Table 3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3">
    <w:name w:val="Grid Table 3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4">
    <w:name w:val="Grid Table 3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5">
    <w:name w:val="Grid Table 3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6">
    <w:name w:val="Grid Table 3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7">
    <w:name w:val="Grid Table 3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8">
    <w:name w:val="Grid Table 4"/>
    <w:basedOn w:val="125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9">
    <w:name w:val="Grid Table 4 - Accent 1"/>
    <w:basedOn w:val="125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0">
    <w:name w:val="Grid Table 4 - Accent 2"/>
    <w:basedOn w:val="125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1">
    <w:name w:val="Grid Table 4 - Accent 3"/>
    <w:basedOn w:val="125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2">
    <w:name w:val="Grid Table 4 - Accent 4"/>
    <w:basedOn w:val="125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3">
    <w:name w:val="Grid Table 4 - Accent 5"/>
    <w:basedOn w:val="125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4">
    <w:name w:val="Grid Table 4 - Accent 6"/>
    <w:basedOn w:val="125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5">
    <w:name w:val="Grid Table 5 Dark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6">
    <w:name w:val="Grid Table 5 Dark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7">
    <w:name w:val="Grid Table 5 Dark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8">
    <w:name w:val="Grid Table 5 Dark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9">
    <w:name w:val="Grid Table 5 Dark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0">
    <w:name w:val="Grid Table 5 Dark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1">
    <w:name w:val="Grid Table 5 Dark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2">
    <w:name w:val="Grid Table 6 Colorful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3">
    <w:name w:val="Grid Table 6 Colorful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4">
    <w:name w:val="Grid Table 6 Colorful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5">
    <w:name w:val="Grid Table 6 Colorful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6">
    <w:name w:val="Grid Table 6 Colorful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7">
    <w:name w:val="Grid Table 6 Colorful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8">
    <w:name w:val="Grid Table 6 Colorful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9">
    <w:name w:val="Grid Table 7 Colorful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0">
    <w:name w:val="Grid Table 7 Colorful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1">
    <w:name w:val="Grid Table 7 Colorful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2">
    <w:name w:val="Grid Table 7 Colorful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3">
    <w:name w:val="Grid Table 7 Colorful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4">
    <w:name w:val="Grid Table 7 Colorful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5">
    <w:name w:val="Grid Table 7 Colorful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6">
    <w:name w:val="List Table 1 Light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7">
    <w:name w:val="List Table 1 Light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8">
    <w:name w:val="List Table 1 Light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9">
    <w:name w:val="List Table 1 Light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0">
    <w:name w:val="List Table 1 Light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1">
    <w:name w:val="List Table 1 Light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2">
    <w:name w:val="List Table 1 Light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3">
    <w:name w:val="List Table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4">
    <w:name w:val="List Table 2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5">
    <w:name w:val="List Table 2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6">
    <w:name w:val="List Table 2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7">
    <w:name w:val="List Table 2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8">
    <w:name w:val="List Table 2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9">
    <w:name w:val="List Table 2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0">
    <w:name w:val="List Table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1">
    <w:name w:val="List Table 3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2">
    <w:name w:val="List Table 3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3">
    <w:name w:val="List Table 3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4">
    <w:name w:val="List Table 3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5">
    <w:name w:val="List Table 3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6">
    <w:name w:val="List Table 3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7">
    <w:name w:val="List Table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8">
    <w:name w:val="List Table 4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9">
    <w:name w:val="List Table 4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0">
    <w:name w:val="List Table 4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1">
    <w:name w:val="List Table 4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2">
    <w:name w:val="List Table 4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3">
    <w:name w:val="List Table 4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4">
    <w:name w:val="List Table 5 Dark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15">
    <w:name w:val="List Table 5 Dark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16">
    <w:name w:val="List Table 5 Dark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17">
    <w:name w:val="List Table 5 Dark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18">
    <w:name w:val="List Table 5 Dark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19">
    <w:name w:val="List Table 5 Dark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20">
    <w:name w:val="List Table 5 Dark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21">
    <w:name w:val="List Table 6 Colorful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2">
    <w:name w:val="List Table 6 Colorful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3">
    <w:name w:val="List Table 6 Colorful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4">
    <w:name w:val="List Table 6 Colorful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5">
    <w:name w:val="List Table 6 Colorful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6">
    <w:name w:val="List Table 6 Colorful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7">
    <w:name w:val="List Table 6 Colorful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8">
    <w:name w:val="List Table 7 Colorful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29">
    <w:name w:val="List Table 7 Colorful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30">
    <w:name w:val="List Table 7 Colorful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31">
    <w:name w:val="List Table 7 Colorful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32">
    <w:name w:val="List Table 7 Colorful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33">
    <w:name w:val="List Table 7 Colorful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34">
    <w:name w:val="List Table 7 Colorful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35">
    <w:name w:val="Lined - Accent"/>
    <w:basedOn w:val="12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6">
    <w:name w:val="Lined - Accent 1"/>
    <w:basedOn w:val="12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7">
    <w:name w:val="Lined - Accent 2"/>
    <w:basedOn w:val="12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8">
    <w:name w:val="Lined - Accent 3"/>
    <w:basedOn w:val="12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9">
    <w:name w:val="Lined - Accent 4"/>
    <w:basedOn w:val="12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0">
    <w:name w:val="Lined - Accent 5"/>
    <w:basedOn w:val="12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1">
    <w:name w:val="Lined - Accent 6"/>
    <w:basedOn w:val="12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2">
    <w:name w:val="Bordered &amp; Lined - Accent"/>
    <w:basedOn w:val="12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3">
    <w:name w:val="Bordered &amp; Lined - Accent 1"/>
    <w:basedOn w:val="12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4">
    <w:name w:val="Bordered &amp; Lined - Accent 2"/>
    <w:basedOn w:val="12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5">
    <w:name w:val="Bordered &amp; Lined - Accent 3"/>
    <w:basedOn w:val="12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6">
    <w:name w:val="Bordered &amp; Lined - Accent 4"/>
    <w:basedOn w:val="12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7">
    <w:name w:val="Bordered &amp; Lined - Accent 5"/>
    <w:basedOn w:val="12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8">
    <w:name w:val="Bordered &amp; Lined - Accent 6"/>
    <w:basedOn w:val="12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9">
    <w:name w:val="Bordered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0">
    <w:name w:val="Bordered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1">
    <w:name w:val="Bordered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2">
    <w:name w:val="Bordered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3">
    <w:name w:val="Bordered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4">
    <w:name w:val="Bordered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5">
    <w:name w:val="Bordered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6" w:default="1">
    <w:name w:val="Normal Table"/>
    <w:uiPriority w:val="99"/>
    <w:semiHidden/>
    <w:unhideWhenUsed/>
    <w:pPr>
      <w:pBdr/>
      <w:spacing/>
      <w:ind/>
    </w:pPr>
    <w:tblPr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7">
    <w:name w:val="Table Grid"/>
    <w:basedOn w:val="1256"/>
    <w:uiPriority w:val="3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8" w:customStyle="1">
    <w:name w:val="Сетка таблицы1"/>
    <w:basedOn w:val="1256"/>
    <w:uiPriority w:val="39"/>
    <w:pPr>
      <w:pBdr/>
      <w:spacing/>
      <w:ind/>
    </w:pPr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9" w:customStyle="1">
    <w:name w:val="Сетка таблицы5"/>
    <w:basedOn w:val="1256"/>
    <w:uiPriority w:val="3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header" Target="header8.xml" /><Relationship Id="rId17" Type="http://schemas.openxmlformats.org/officeDocument/2006/relationships/header" Target="header9.xml" /><Relationship Id="rId18" Type="http://schemas.openxmlformats.org/officeDocument/2006/relationships/header" Target="header10.xml" /><Relationship Id="rId19" Type="http://schemas.openxmlformats.org/officeDocument/2006/relationships/header" Target="header11.xml" /><Relationship Id="rId20" Type="http://schemas.openxmlformats.org/officeDocument/2006/relationships/footer" Target="footer1.xml" /><Relationship Id="rId21" Type="http://schemas.openxmlformats.org/officeDocument/2006/relationships/footer" Target="footer2.xml" /><Relationship Id="rId22" Type="http://schemas.openxmlformats.org/officeDocument/2006/relationships/footer" Target="footer3.xml" /><Relationship Id="rId23" Type="http://schemas.openxmlformats.org/officeDocument/2006/relationships/footer" Target="footer4.xml" /><Relationship Id="rId24" Type="http://schemas.openxmlformats.org/officeDocument/2006/relationships/footer" Target="footer5.xml" /><Relationship Id="rId25" Type="http://schemas.openxmlformats.org/officeDocument/2006/relationships/footer" Target="footer6.xml" /><Relationship Id="rId26" Type="http://schemas.openxmlformats.org/officeDocument/2006/relationships/footer" Target="footer7.xml" /><Relationship Id="rId27" Type="http://schemas.openxmlformats.org/officeDocument/2006/relationships/footer" Target="footer8.xml" /><Relationship Id="rId28" Type="http://schemas.openxmlformats.org/officeDocument/2006/relationships/footer" Target="footer9.xml" /><Relationship Id="rId29" Type="http://schemas.openxmlformats.org/officeDocument/2006/relationships/footer" Target="footer10.xml" /><Relationship Id="rId3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10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er9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10.xml.rels><?xml version="1.0" encoding="UTF-8" standalone="yes"?><Relationships xmlns="http://schemas.openxmlformats.org/package/2006/relationships"></Relationships>
</file>

<file path=word/_rels/header1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_rels/header8.xml.rels><?xml version="1.0" encoding="UTF-8" standalone="yes"?><Relationships xmlns="http://schemas.openxmlformats.org/package/2006/relationships"></Relationships>
</file>

<file path=word/_rels/header9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DCA26-C75D-4FED-86DD-11699F47F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>Microsoft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revision>159</cp:revision>
  <dcterms:created xsi:type="dcterms:W3CDTF">2021-04-04T09:36:00Z</dcterms:created>
  <dcterms:modified xsi:type="dcterms:W3CDTF">2026-05-18T07:48:42Z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